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C4" w:rsidRPr="007B2BC4" w:rsidRDefault="007B2BC4" w:rsidP="007B2BC4">
      <w:pPr>
        <w:spacing w:after="0" w:line="240" w:lineRule="auto"/>
        <w:rPr>
          <w:rFonts w:ascii="Times New Roman" w:eastAsia="Times New Roman" w:hAnsi="Times New Roman" w:cs="Times New Roman"/>
          <w:sz w:val="24"/>
          <w:szCs w:val="24"/>
          <w:lang w:eastAsia="tr-TR"/>
        </w:rPr>
      </w:pPr>
      <w:r w:rsidRPr="007B2BC4">
        <w:rPr>
          <w:rFonts w:ascii="Arial" w:eastAsia="Times New Roman" w:hAnsi="Arial" w:cs="Arial"/>
          <w:color w:val="1C283D"/>
          <w:sz w:val="15"/>
          <w:szCs w:val="15"/>
          <w:shd w:val="clear" w:color="auto" w:fill="FFFFFF"/>
          <w:lang w:eastAsia="tr-TR"/>
        </w:rPr>
        <w:t>Resmî Gazete Tarihi: 12.08.2013 Resmî Gazete Sayısı: 28733</w:t>
      </w:r>
      <w:r w:rsidRPr="007B2BC4">
        <w:rPr>
          <w:rFonts w:ascii="Arial" w:eastAsia="Times New Roman" w:hAnsi="Arial" w:cs="Arial"/>
          <w:color w:val="1C283D"/>
          <w:sz w:val="15"/>
          <w:szCs w:val="15"/>
          <w:lang w:eastAsia="tr-TR"/>
        </w:rPr>
        <w:br/>
      </w:r>
    </w:p>
    <w:p w:rsidR="007B2BC4" w:rsidRPr="007B2BC4" w:rsidRDefault="007B2BC4" w:rsidP="007B2BC4">
      <w:pPr>
        <w:shd w:val="clear" w:color="auto" w:fill="FFFFFF"/>
        <w:spacing w:before="56" w:after="0" w:line="240" w:lineRule="atLeast"/>
        <w:jc w:val="center"/>
        <w:rPr>
          <w:rFonts w:ascii="Calibri" w:eastAsia="Times New Roman" w:hAnsi="Calibri" w:cs="Times New Roman"/>
          <w:color w:val="1C283D"/>
          <w:lang w:eastAsia="tr-TR"/>
        </w:rPr>
      </w:pPr>
      <w:bookmarkStart w:id="0" w:name="_GoBack"/>
      <w:r w:rsidRPr="007B2BC4">
        <w:rPr>
          <w:rFonts w:ascii="Calibri" w:eastAsia="Times New Roman" w:hAnsi="Calibri" w:cs="Times New Roman"/>
          <w:b/>
          <w:bCs/>
          <w:color w:val="1C283D"/>
          <w:lang w:eastAsia="tr-TR"/>
        </w:rPr>
        <w:t>KİMYASAL MADDELERLE ÇALIŞMALARDA SAĞLIK VE GÜVENLİK ÖNLEMLERİ HAKKINDA YÖNETMELİK</w:t>
      </w:r>
    </w:p>
    <w:bookmarkEnd w:id="0"/>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BİRİNCİ BÖLÜM</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Amaç, Kapsam, Dayanak ve Tanımlar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Amaç</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 –</w:t>
      </w:r>
      <w:r w:rsidRPr="007B2BC4">
        <w:rPr>
          <w:rFonts w:ascii="Calibri" w:eastAsia="Times New Roman" w:hAnsi="Calibri" w:cs="Times New Roman"/>
          <w:color w:val="1C283D"/>
          <w:lang w:eastAsia="tr-TR"/>
        </w:rPr>
        <w:t> (1) Bu Yönetmeliğin amacı, işyerinde bulunan, kullanılan veya herhangi bir şekilde işlem gören kimyasal maddelerin etkilerinden kaynaklanan mevcut veya ortaya çıkması muhtemel risklerden çalışanların sağlığını korumak ve güvenli bir çalışma ortamı sağlamak için asgari şartları belirlemektir.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Kapsam</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2 –</w:t>
      </w:r>
      <w:r w:rsidRPr="007B2BC4">
        <w:rPr>
          <w:rFonts w:ascii="Calibri" w:eastAsia="Times New Roman" w:hAnsi="Calibri" w:cs="Times New Roman"/>
          <w:color w:val="1C283D"/>
          <w:lang w:eastAsia="tr-TR"/>
        </w:rPr>
        <w:t> (1) Bu Yönetmelik 20/6/2012 tarihli ve 6331 sayılı İş Sağlığı ve Güvenliği Kanunu kapsamına giren ve kimyasal maddelerin bulunduğu, kullanıldığı veya herhangi bir şekilde işlem gördüğü tüm işyerlerini kapsar.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Sağlık ve güvenlik önlemleri özel mevzuatla düzenlenen; kimyasal maddelerle çalışmalarda, radyoaktif maddelerle çalışmalarda, zararlı kimyasal maddelerin işyeri dışında taşınmasında, sözü edilen özel mevzuatta belirtilen önlemler ile birlikte bu Yönetmeliğin uygulama kabiliyeti olan hükümleri de uygulanır.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6/8/2013 tarihli ve 28730 sayılı Resmî Gazete’de yayımlanan Kanserojen veya Mutajen Maddelerle Çalışmalarda Sağlık ve Güvenlik Önlemleri Hakkında Yönetmelik hükümleri saklı kalmak kaydı ile işyerinde bulunan kanserojen ve mutajen maddeler ile ilgili olarak bu Yönetmelik hükümleri de uygulanır.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Dayanak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3 –</w:t>
      </w:r>
      <w:r w:rsidRPr="007B2BC4">
        <w:rPr>
          <w:rFonts w:ascii="Calibri" w:eastAsia="Times New Roman" w:hAnsi="Calibri" w:cs="Times New Roman"/>
          <w:color w:val="1C283D"/>
          <w:lang w:eastAsia="tr-TR"/>
        </w:rPr>
        <w:t> (1) Bu Yönetmelik;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6331 sayılı Kanunun 30 uncu maddesine dayanılarak,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7/4/1998 tarihli ve 1998/24/EC sayılı, 29/5/1991 tarihli ve 1991/322/EEC sayılı, 8/6/2000 tarihli ve 2000/39/EC sayılı, 7/2/2006 tarihli ve 2006/15/EC sayılı, 17/12/2009 tarihli ve 2009/161/EU sayılı Avrupa Parlamentosu ve Konseyi Direktiflerine paralel olarak,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hazırlanmıştır.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Tanımlar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4 –</w:t>
      </w:r>
      <w:r w:rsidRPr="007B2BC4">
        <w:rPr>
          <w:rFonts w:ascii="Calibri" w:eastAsia="Times New Roman" w:hAnsi="Calibri" w:cs="Times New Roman"/>
          <w:color w:val="1C283D"/>
          <w:lang w:eastAsia="tr-TR"/>
        </w:rPr>
        <w:t> (1) Bu Yönetmelikte geçen;</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Alerjik madde: Solunduğunda, cilde nüfuz ettiğinde aşırı derecede hassasiyet meydana getirme özelliği olan ve daha sonra maruz kalınması durumunda karakteristik olumsuz etkilerin ortaya çıkmasına neden olan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Alevlenir madde: Parlama noktası 21°C - 55°C arasında olan sıvı haldeki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Aşındırıcı madde: Canlı doku ile temasında, dokunun tahribatına neden olabilen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ç) Bakanlık: Çalışma ve Sosyal Güvenlik Bakanlığını,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 Biyolojik sınır değeri: Kimyasal maddenin ve metabolitinin uygun biyolojik ortamdaki konsantrasyonunun ve etki göstergesinin üst sınırını,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e) Çevre için tehlikeli madde: Çevre ortamına girdiğinde çevrenin bir veya birkaç unsuru için hemen veya sonradan kısa veya uzun süreli tehlikeler gösteren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f) Çok kolay alevlenir madde: 0°C’den düşük parlama noktası ve 35°C’den düşük kaynama noktasına sahip sıvı haldeki maddeler ile oda sıcaklığında ve basıncı altında hava ile temasında yanabilen, gaz haldeki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g) Çok toksik madde: Çok az miktarlarda solunduğunda, ağız yoluyla alındığında, deri yoluyla emildiğinde insan sağlığı üzerinde akut veya kronik hasarlara veya ölüme neden olan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ğ) Kanserojen madde: Kanserojen veya Mutajen Maddelerle Çalışmalarda Sağlık ve Güvenlik Önlemleri Hakkında Yönetmelikte tanımlanan kanserojen maddeyi,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lastRenderedPageBreak/>
        <w:t>h) Kimyasal madde: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ı) Kimyasal maddelerin kullanıldığı işlemler: Bu maddelerin üretilmesi, işlenmesi, kullanılması, depolanması, taşınması, atık ve artıkların arıtılması veya uzaklaştırılması işlemlerini,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i) Kolay alevlenir madde: Enerji uygulaması olmadan, ortam sıcaklığında hava ile temasında ısınabilen ve sonuç olarak alevlenen maddeyi veya ateş kaynağı ile kısa süreli temasta kendiliğinden yanabilen ve ateş kaynağının uzaklaştırılmasından sonra da yanmaya devam eden katı haldeki maddeyi veya parlama noktası 21°C’nin altında olan sıvı haldeki maddeyi veya su veya nemli hava ile temasında, tehlikeli miktarda, çok kolay alevlenir gaz yayan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j) Mesleki maruziyet sınır değeri: Başka şekilde belirtilmedikçe, 8 saatlik sürede, çalışanların solunum bölgesindeki havada bulunan kimyasal madde konsantrasyonunun zaman ağırlıklı ortalamasının üst sınırını,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k) Mutajen madde: Kanserojen veya Mutajen Maddelerle Çalışmalarda Sağlık ve Güvenlik Önlemleri Hakkında Yönetmelikte tanımlanan mutajen maddeyi,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l) Oksitleyici madde: Özellikle yanıcı maddelerle olmak üzere diğer maddeler ile de temasında önemli ölçüde ekzotermik reaksiyona neden olan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m) Patlayıcı madde: Atmosferik oksijen olmadan da ani gaz yayılımı ile ekzotermik reaksiyon verebilen ve/veya kısmen kapatıldığında ısınma ile kendiliğinden patlayan veya belirlenmiş test koşullarında patlayan, çabucak parlayan katı, sıvı, macunumsu, jelatinimsi haldeki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n) Sağlık gözetimi: Çalışanların belirli bir kimyasal maddeye maruziyetleri ile ilgili olarak sağlık durumlarının belirlenmesi amacıyla yapılan değerlendirmeleri,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o) Solunum bölgesi: Merkezi, kişinin kulaklarını birleştiren çizginin orta noktası olan 30 cm yarıçaplı kürenin, başın ön kısmında kalan yarısını,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ö) Tahriş edici madde: Mukoza veya cilt ile direkt olarak ani, uzun süreli veya tekrarlanan temasında lokal eritem, eskar veya ödem oluşumuna neden olabilen, aşındırıcı olarak sınıflandırılmayan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p) Tehlikeli kimyasal madde: Patlayıcı, oksitleyici, çok kolay alevlenir, kolay alevlenir, alevlenir, toksik, çok toksik, zararlı, aşındırıcı, tahriş edici, alerjik, kanserojen, mutajen, üreme için toksik ve çevre için tehlikeli özelliklerden bir veya birkaçına sahip maddeleri ve müstahzarları veya yukarıda sözü edilen sınıflamalara girmemekle beraber kimyasal, fiziko-kimyasal veya toksikolojik özellikleri ve kullanılma veya işyerinde bulundurulma şekli nedeni ile çalışanların sağlık ve güvenliği yönünden risk oluşturabilecek maddeleri veya mesleki maruziyet sınır değeri belirlenmiş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r) Toksik madde: Az miktarlarda solunduğunda, ağız yoluyla alındığında, deri yoluyla emildiğinde insan sağlığı üzerinde akut veya kronik hasarlara veya ölüme neden olan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s) Üreme için toksik madde: Solunduğunda, ağız yoluyla alındığında, deriye nüfuz ettiğinde erkek ve dişilerin üreme fonksiyon ve kapasitelerini azaltan ve/veya doğacak çocuğu etkileyecek kalıtımsal olmayan olumsuz etkileri meydana getiren veya olumsuz etkilerin oluşumunu hızlandıran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ş) Zararlı madde: Solunduğunda, ağız yoluyla alındığında, deri yoluyla emildiğinde insan sağlığı üzerinde akut veya kronik hasarlara veya ölüme neden olan maddeleri,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ifade eder.</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İKİNCİ BÖLÜM</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İşverenin Yükümlülükleri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Genel yükümlülük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5 –</w:t>
      </w:r>
      <w:r w:rsidRPr="007B2BC4">
        <w:rPr>
          <w:rFonts w:ascii="Calibri" w:eastAsia="Times New Roman" w:hAnsi="Calibri" w:cs="Times New Roman"/>
          <w:color w:val="1C283D"/>
          <w:lang w:eastAsia="tr-TR"/>
        </w:rPr>
        <w:t> (1) İşveren, kimyasal maddelerle çalışmalarda, çalışanların bu maddelere maruziyetini önlemek, bunun mümkün olmadığı hallerde en aza indirmek ve çalışanların bu maddelerin tehlikelerinden korunması için gerekli tüm önlemleri almakla yükümlüdür.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Risk değerlendirmesi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6 –</w:t>
      </w:r>
      <w:r w:rsidRPr="007B2BC4">
        <w:rPr>
          <w:rFonts w:ascii="Calibri" w:eastAsia="Times New Roman" w:hAnsi="Calibri" w:cs="Times New Roman"/>
          <w:color w:val="1C283D"/>
          <w:lang w:eastAsia="tr-TR"/>
        </w:rPr>
        <w:t xml:space="preserve"> (1) İşveren, işyerinde tehlikeli kimyasal madde bulunup bulunmadığını tespit etmek ve tehlikeli kimyasal madde bulunması halinde, çalışanların sağlık ve güvenliği yönünden olumsuz etkilerini belirlemek üzere, 29/12/2012 tarihli ve 28512 sayılı Resmî Gazete’de yayımlanan İş Sağlığı </w:t>
      </w:r>
      <w:r w:rsidRPr="007B2BC4">
        <w:rPr>
          <w:rFonts w:ascii="Calibri" w:eastAsia="Times New Roman" w:hAnsi="Calibri" w:cs="Times New Roman"/>
          <w:color w:val="1C283D"/>
          <w:lang w:eastAsia="tr-TR"/>
        </w:rPr>
        <w:lastRenderedPageBreak/>
        <w:t>ve Güvenliği Risk Değerlendirmesi Yönetmeliği hükümlerine uygun şekilde risk değerlendirmesi yapmakla yükümlüdür.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Kimyasal maddelerle çalışmalarda yapılacak risk değerlendirmesinde aşağıda belirtilen hususlar özellikle dikkate alınır: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Kimyasal maddenin sağlık ve güvenlik yönünden tehlike ve zararları.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İmalatçı, ithalatçı veya satıcılardan sağlanacak Türkçe malzeme güvenlik bilgi formu.</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Maruziyetin türü, düzeyi ve süresi.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ç) Kimyasal maddenin miktarı, kullanma şartları ve kullanım sıklığı.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 Bu Yönetmelik eklerinde verilen mesleki maruziyet sınır değerleri ve biyolojik sınır değerleri.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e) Alınan ya da alınması gereken önleyici tedbirlerin etkisi.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f) Varsa, daha önce yapılmış olan sağlık gözetimlerinin sonuçları.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g) Birden fazla kimyasal madde ile çalışılan işlerde, bu maddelerin her biri ve birbirleri ile etkileşimleri.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İşveren, tedarikçiden veya diğer kaynaklardan risk değerlendirmesi için gerekli olan ek bilgileri edinir. Bu bilgiler, kullanıcılara yönelik olarak, varsa kimyasal maddelerin yürürlükteki mevzuatta yer alan özel risk değerlendirmelerini de içerir.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(4) Tehlikeli kimyasal maddeler içeren yeni bir faaliyete ancak risk değerlendirilmesi yapılarak belirlenen her türlü önlem alındıktan sonra başlanır.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Tehlikeli kimyasal maddelerle çalışmalarda alınması gereken önlemler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7 –</w:t>
      </w:r>
      <w:r w:rsidRPr="007B2BC4">
        <w:rPr>
          <w:rFonts w:ascii="Calibri" w:eastAsia="Times New Roman" w:hAnsi="Calibri" w:cs="Times New Roman"/>
          <w:color w:val="1C283D"/>
          <w:lang w:eastAsia="tr-TR"/>
        </w:rPr>
        <w:t> (1) Tehlikeli kimyasal maddelerle çalışmalarda çalışanların sağlık ve güvenliği yönünden riskler aşağıdaki önlemlerle ortadan kaldırılır veya en az düzeye indirilir: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İşyerinde uygun düzenleme ve iş organizasyonu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Tehlikeli kimyasal maddelerle çalışmalar, en az sayıda çalışan ile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Çalışanların maruz kalacakları madde miktarlarının ve maruziyet sürelerinin mümkün olan en az düzeyde olması sağlanır.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ç) İşyerinde kullanılması gereken kimyasal madde miktarı en az düzeyde tutulur.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 İşyeri bina ve eklentileri her zaman düzenli ve temiz tutulur.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e) Çalışanların kişisel temizlikleri için uygun ve yeterli şartlar sağlanır.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f) Tehlikeli kimyasal maddelerin, atık ve artıkların işyerinde en uygun şekilde işlenmesi, kullanılması, taşınması ve depolanması için gerekli düzenlemeler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g) İkame yöntemi uygulanarak, tehlikeli kimyasal madde yerine çalışanların sağlık ve güvenliği yönünden tehlikesiz veya daha az tehlikeli olan kimyasal madde kullanılır. Yapılan işin özelliği nedeniyle ikame yöntemi kullanılamıyorsa, risk değerlendirmesi sonucuna göre ve öncelik sırasıyla aşağıdaki tedbirler alınarak risk azaltılır: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Çalışanların sağlık ve güvenliği yönünden risk oluşturabilecek bakım onarım işleri de dahil tehlikeli kimyasal maddelerle çalışmalarda ve teknolojik gelişmeler de dikkate alınarak uygun proses ve mühendislik kontrol sistemleri seçilir ve uygun makine, malzeme ve ekipman kullanılır.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Riski kaynağında önlemek üzere; uygun iş organizasyonu ve yeterli havalandırma sistemi kurulması gibi toplu koruma önlemleri uygulanır.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Tehlikeli kimyasal maddelerin olumsuz etkilerinden çalışanların toplu olarak korunması için alınan önlemlerin yeterli olmadığı hallerde bu önlemlerle birlikte kişisel korunma yöntemleri uygulanır.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ğ) Alınan önlemlerin etkinliğini ve sürekliliğini sağlamak üzere yeterli kontrol, denetim ve gözetim sağlanır.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h) İşveren, çalışanların sağlığı için risk oluşturabilecek kimyasal maddelerin düzenli olarak ölçümünün ve analizinin yapılmasını sağlar. İşyerinde çalışanların kimyasal maddelere maruziyetini etkileyebilecek koşullarda herhangi bir değişiklik olduğunda bu ölçümler tekrarlanır. Ölçüm sonuçları, bu Yönetmelik eklerinde belirtilen mesleki maruziyet sınır değerleri dikkate alınarak değerlendirilir.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ı) İşveren, 6 ncı maddede belirtilen yükümlülükleri yerine getirirken, bu maddenin birinci fıkrasının (h) bendinde belirtilen ölçüm sonuçlarını da göz önünde bulundurur. Mesleki maruziyet sınır değerlerinin aşıldığı her durumda, işveren bu durumun en kısa sürede giderilmesi için koruyucu ve önleyici tedbirleri alır.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lastRenderedPageBreak/>
        <w:t>i) 30/4/2013 tarihli ve 28633 sayılı Resmî Gazete’de yayımlanan Çalışanların Patlayıcı Ortamların Tehlikelerinden Korunması Hakkında Yönetmelik hükümleri saklı kalmak kaydıyla işveren, risk değerlendirmesi sonuçlarını ve risk önleme prensiplerini temel alarak, çalışanları kimyasal maddelerin fiziksel ve kimyasal özelliklerinden kaynaklanan tehlikelerden korumak için, bu maddelerin işlenmesi, depolanması, taşınması ve birbirini etkileyebilecek kimyasal maddelerin birbirleriyle temasının önlenmesi de dâhil olmak üzere, yapılan işin özelliğine uygun olarak aşağıda belirtilen öncelik sırasına göre teknik önlemleri alır ve idari düzenlemeleri yapar: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İşyerinde parlayıcı ve patlayıcı maddelerin tehlikeli konsantrasyonlara ulaşması ve kimyasal olarak kararsız maddelerin tehlikeli miktarlarda bulunması önlenir. Bu mümkün değilse,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İşyerinde yangın veya patlamaya sebep olabilecek tutuşturucu kaynakların bulunması önlenir. Kimyasal olarak kararsız madde ve karışımların zararlı etki göstermesine sebep olabilecek şartlar ortadan kaldırılır. Bu da mümkün değilse,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Parlayıcı ve/veya patlayıcı maddelerden kaynaklanan yangın veya patlama halinde veya kimyasal olarak kararsız madde ve karışımlarının zararlı fiziksel etkilerinden çalışanların zarar görmesini önlemek veya en aza indirmek için gerekli önlemler alınır.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j) İş ekipmanı ve çalışanların korunması için sağlanan koruyucu sistemlerin tasarımı, imali ve temini, sağlık ve güvenlik yönünden yürürlükteki mevzuata uygun şekilde yapılır. İşveren, patlayıcı ortamlarda kullanılacak bütün donanım ve koruyucu sistemlerin 30/12/2006 tarihli ve 26392 4 üncü Mükerrer sayılı Resmî Gazete’de yayımlanan Muhtemel Patlayıcı Ortamda Kullanılan Teçhizat ve Koruyucu Sistemlerle İlgili Yönetmelik (94/9/AT)  hükümlerine uygun olmasını sağlar.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k) Patlama basıncının etkisini azaltacak düzenlemeler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l) Tesis, makine ve ekipmanın sürekli kontrol altında tutulması sağlanır.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m) İşyerlerinde, sıvı oksijen, sıvı argon ve sıvı azot bulunan depolama tanklarının yerleştirilmesinde Ek-4’te belirtilen asgari güvenlik mesafelerine uyulur.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Acil durumlar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8 –</w:t>
      </w:r>
      <w:r w:rsidRPr="007B2BC4">
        <w:rPr>
          <w:rFonts w:ascii="Calibri" w:eastAsia="Times New Roman" w:hAnsi="Calibri" w:cs="Times New Roman"/>
          <w:color w:val="1C283D"/>
          <w:lang w:eastAsia="tr-TR"/>
        </w:rPr>
        <w:t> (1) İşveren, 18/6/2013 tarihli ve 28681 sayılı Resmî Gazete’de yayımlanan İşyerlerinde Acil Durumlar Hakkında Yönetmelikte belirtilen hususlar saklı kalmak kaydıyla işyerindeki tehlikeli kimyasal maddelerden kaynaklanacak acil durumlarda özellikle aşağıdaki hususlar dikkate alınır: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Acil durumların olumsuz etkilerini azaltacak önleyici tedbirler derhal alınır ve çalışanlar durumdan haberdar edilir. Acil durumun en kısa sürede normale dönmesi için gerekli çalışmalar yapılır ve etkilenmiş alana sadece bakım, onarım ve zorunlu işlerin yapılması için acil durumlarda görevlendirilen çalışanlar ile işyeri dışından olay yerine intikal eden ekiplerin girmesine izin verilir.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Etkilenmiş alana girmesine izin verilen kişilere uygun kişisel koruyucu donanım ve özel güvenlik ekipmanı verilir ve acil durum devam ettiği sürece kullanmaları sağlanır. Uygun kişisel koruyucu donanımı ve özel güvenlik ekipmanı bulunmayan kişilerin etkilenmiş alana girmesine izin verilmez.</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Tehlikeli kimyasallarla ilgili bilgiler ve acil durum müdahale ve tahliye prosedürleri kullanıma hazır bulundurulur. İşyerindeki acil durumlarda görevlendirilen çalışanların ve işyeri dışındaki ilk yardım, acil tıbbi müdahale, kurtarma ve yangınla mücadele gibi konularda faaliyet gösteren kuruluşların bu bilgilere ve prosedürlere kolayca ulaşabilmeleri sağlanır. Bu bilgiler;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İşyerindeki acil durumlarda görevlendirilen çalışanların ve işyeri dışındaki ilk yardım, acil tıbbi müdahale, kurtarma ve yangınla mücadele gibi konularda faaliyet gösteren kuruluşların önceden hazır olabilmeleri ve uygun müdahaleyi yapabilmeleri için, yapılan işteki tehlikeleri, alınacak önlemleri ve yapılacak işleri,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Acil durumda ortaya çıkması muhtemel özel tehlike ve yapılacak işler hakkındaki bilgileri,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içerir.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Çalışanların eğitimi ve bilgilendirilmesi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9 –</w:t>
      </w:r>
      <w:r w:rsidRPr="007B2BC4">
        <w:rPr>
          <w:rFonts w:ascii="Calibri" w:eastAsia="Times New Roman" w:hAnsi="Calibri" w:cs="Times New Roman"/>
          <w:color w:val="1C283D"/>
          <w:lang w:eastAsia="tr-TR"/>
        </w:rPr>
        <w:t> (1) İşveren, 15/5/2013 tarihli ve 28648 sayılı Çalışanların İş Sağlığı ve Güvenliği Eğitimlerinin Usul ve Esasları Hakkında Yönetmelikte belirtilen hususlar saklı kalmak kaydıyla çalışanların ve temsilcilerin eğitimini ve bilgilendirilmelerini sağlar.  Bu eğitim ve bilgilendirilmeler özellikle aşağıdaki hususları içerir: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lastRenderedPageBreak/>
        <w:t>a) Risk değerlendirmesi sonucunda elde edilen bilgileri.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İşyerinde bulunan veya ortaya çıkabilecek tehlikeli kimyasal maddelerle ilgili bu maddelerin tanınması, sağlık ve güvenlik riskleri, meslek hastalıkları, mesleki maruziyet sınır değerleri ve diğer yasal düzenlemeler hakkında bilgileri.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Çalışanların kendilerini ve diğer çalışanları tehlikeye atmamaları için gerekli önlemleri ve yapılması gerekenleri.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ç) Tehlikeli kimyasal maddeler için tedarikçiden sağlanan Türkçe malzeme güvenlik bilgi formları hakkındaki bilgileri.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 Tehlikeli kimyasal madde bulunan bölümler, kaplar, boru tesisatı ve benzeri tesisatla ilgili mevzuata uygun olarak etiketleme/kilitleme ile ilgili bilgileri.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Tehlikeli kimyasallarla yapılan çalışmalarda çalışanlara veya temsilcilerine verilecek eğitim ve bilgiler, yapılan risk değerlendirmesi sonucu ortaya çıkan riskin derecesi ve özelliğine bağlı olarak, sözlü talimat ve yazılı bilgilerle desteklenmiş eğitim şeklinde olur. Bu bilgiler değişen şartlara göre güncellenir.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Kimyasal madde üreticileri veya tedarikçileri, işverenin talep etmesi halinde, risk değerlendirmesi için gerekli olan, 6 ncı maddenin ikinci fıkrasında yer alan hususlar ile ilgili tüm bilgileri vermek zorundadır.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Çalışanların görüşlerinin alınması ve katılımının sağlanması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10 –</w:t>
      </w:r>
      <w:r w:rsidRPr="007B2BC4">
        <w:rPr>
          <w:rFonts w:ascii="Calibri" w:eastAsia="Times New Roman" w:hAnsi="Calibri" w:cs="Times New Roman"/>
          <w:color w:val="1C283D"/>
          <w:lang w:eastAsia="tr-TR"/>
        </w:rPr>
        <w:t> (1) İşveren, bu Yönetmelik ve eklerinde belirtilen konularda 6331 sayılı Kanunun 18 inci maddesine uygun olarak çalışanların ve/veya temsilcilerinin görüşlerini alır ve katılımlarını sağlar.</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ÜÇÜNCÜ BÖLÜM</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Çeşitli ve Son Hükümler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Yasaklar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11 –</w:t>
      </w:r>
      <w:r w:rsidRPr="007B2BC4">
        <w:rPr>
          <w:rFonts w:ascii="Calibri" w:eastAsia="Times New Roman" w:hAnsi="Calibri" w:cs="Times New Roman"/>
          <w:color w:val="1C283D"/>
          <w:lang w:eastAsia="tr-TR"/>
        </w:rPr>
        <w:t> (1) Ek-3’te liste halinde belirtilen kimyasal maddelerle yapılacak çalışmalarda aşağıda belirtilen hususlara uyulur: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Çalışanların, Ek-3’te belirtilen kimyasal maddelerden veya bu maddelerin kullanıldığı işlemlerden kaynaklanan sağlık ve güvenlik risklerinden korunması için bu maddelerin belirtilen oranlardan fazla bulunması halinde bu maddelerin üretilmesi, kullanılması ve işlemlerin yapılması yasaktır.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Ancak, tam kapalı sistemlerde, mümkün olan en az miktarlarda ve çalışanların bu maddelere maruziyetlerinin önlenmesi şartı ile Bakanlıktan izin alınarak Ek-3’te belirtilen maddelerle sadece aşağıdaki hallerde çalışma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Bilimsel araştırma ve deneylerde,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Yan ürünlerde veya atık maddelerde bulunan bu maddelerin ayrılması işlerinde,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Teknoloji gereği ara madde olarak kullanılması zorunlu olan üretimlerde.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(b) bendinde belirtilen çalışmalar için izin isteyenler;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İzin isteme nedeni,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Kimyasal madde veya maddelerin yıllık kullanım miktarları,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Bu maddelerde çalışacakların sayısı,</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4) Maddelerin kullanılacağı işler, reaksiyonlar ve prosesler,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5) Çalışanların bu maddelere maruziyetini önlemek için alınan önlemler,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hakkındaki bilgileri Bakanlığa vermekle yükümlüdür.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Sağlık gözetimi</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12 –</w:t>
      </w:r>
      <w:r w:rsidRPr="007B2BC4">
        <w:rPr>
          <w:rFonts w:ascii="Calibri" w:eastAsia="Times New Roman" w:hAnsi="Calibri" w:cs="Times New Roman"/>
          <w:color w:val="1C283D"/>
          <w:lang w:eastAsia="tr-TR"/>
        </w:rPr>
        <w:t> (1) 6331 sayılı Kanunun 15 inci maddesi uyarınca;</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 Yapılan risk değerlendirmesi sonucunda sağlık yönünden risk altında olduğu saptanan çalışanlar uygun sağlık gözetimine tabi tutulur.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 İşyerinde koruyucu önlemlerin alınmasında sağlık gözetimi sonuçları dikkate alınır ve bu gözetimler özellikle;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Belirli bir hastalık veya sağlık yönünden olumsuz bir etkilenmeye neden olduğu bilinen tehlikeli kimyasal maddeye maruziyetin söz konusu olduğu,</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lastRenderedPageBreak/>
        <w:t>2) Çalışanların özel çalışma şartlarında hastalık veya etkilenmenin ortaya çıkma olasılığının bulunduğu,</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Çalışanlar üzerinde yapılacak tetkiklerin oluşturduğu riskin kabul edilebilir düzeyde olduğu,</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durumlarda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c) Bu gözetimler, hastalık ve etkilenmeyi tespit edecek geçerli tekniklerin bulunduğu durumlarda yapılır.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ç) Ek-2’de belirtilen biyolojik sınır değeri bulunan tehlikeli kimyasal maddelerle çalışmalarda, aynı ek’teki prosedüre uygun sağlık gözetimi yapılır. Çalışanlar bu işe başlamadan önce bu durumdan haberdar edilir.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d) Sağlık gözetimine tabi tutulan her çalışan için kişisel sağlık ve maruziyet kayıtları tutulur ve güncellenir.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e) Kişisel sağlık ve maruziyet ile ilgili kayıtlar, yapılan sağlık gözetimi ve kişinin maruziyet düzeyi izleme sonuçlarının bir özetini içerir. Sağlık gözetiminde biyolojik izleme ve gerekli incelemeler yer alır.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f) İleriki bir tarihte değerlendirilmesi açısından, sağlık ve maruziyet ile ilgili kayıtlar, gizliliği de dikkate alarak, uygun bir şekilde tutulur ve muhafaza edilir.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g) Kayıtların bir örneği, istenmesi halinde Bakanlığa verilir.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ğ) Çalışanlar, kendilerine ait sağlık muayene sonuçları ve etkilenme düzeylerine ait bilgileri görme hakkına sahiptir.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h) İşyerinde faaliyetin sona ermesi halinde, işveren sağlık ve maruziyet kayıtlarını Sosyal Güvenlik Kurumu il müdürlüğüne teslim eder.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ı) Sağlık gözetimi sonucunda; işyerinde tehlikeli kimyasal maddeye maruz kalan çalışanda, bu maddeden kaynaklanan tanımlanabilir bir hastalık veya olumsuz sağlık etkisi görülmesi veya biyolojik sınır değerin aşıldığının tespit edilmesi halinde, çalışan durumdan haberdar edilir ve kendisine yapılması gerekli sağlık gözetimi ile ilgili gerekli bilgi ve tavsiyeler verilir. Bu durumda;</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 Yapılan risk değerlendirmesi gözden geçirilir ve gerek görülmesi halinde yenilenir.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2) 7 nci maddeye göre riskin önlenmesi veya azaltılmasına yönelik mevcut önlemler gözden geçirilir ve gereken önlemler alınır.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3) Çalışanın yaptığı işten alınarak tehlikeli kimyasal maddeye maruziyet riskinin olmadığı başka bir işte çalıştırılması da dahil riskin önlenmesi veya azaltılmasına yönelik gerekli önlemlerin alınmasında, işyeri hekiminin, iş güvenliği uzmanının, diğer uzman kişilerin veya Bakanlık yetkililerinin önerileri dikkate alınır.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4) Tehlikeli kimyasal maddelere maruz kalan başka çalışanlar da varsa sağlık durumları kontrol edilir ve bu çalışanlar sürekli sağlık gözetimi altında tutulur.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Yürürlükten kaldırılan yönetmelik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13 –</w:t>
      </w:r>
      <w:r w:rsidRPr="007B2BC4">
        <w:rPr>
          <w:rFonts w:ascii="Calibri" w:eastAsia="Times New Roman" w:hAnsi="Calibri" w:cs="Times New Roman"/>
          <w:color w:val="1C283D"/>
          <w:lang w:eastAsia="tr-TR"/>
        </w:rPr>
        <w:t> (1) 26/12/2003 tarihli ve 25328 sayılı Resmî Gazete’de yayımlanan Kimyasal Maddelerle Çalışmalarda Sağlık ve Güvenlik Önlemleri Hakkında Yönetmelik yürürlükten kaldırılmıştır.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Yürürlük</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14 –</w:t>
      </w:r>
      <w:r w:rsidRPr="007B2BC4">
        <w:rPr>
          <w:rFonts w:ascii="Calibri" w:eastAsia="Times New Roman" w:hAnsi="Calibri" w:cs="Times New Roman"/>
          <w:color w:val="1C283D"/>
          <w:lang w:eastAsia="tr-TR"/>
        </w:rPr>
        <w:t> (1)  Bu Yönetmelik yayımı tarihinde yürürlüğe girer.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Yürütme</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MADDE 15 –</w:t>
      </w:r>
      <w:r w:rsidRPr="007B2BC4">
        <w:rPr>
          <w:rFonts w:ascii="Calibri" w:eastAsia="Times New Roman" w:hAnsi="Calibri" w:cs="Times New Roman"/>
          <w:color w:val="1C283D"/>
          <w:lang w:eastAsia="tr-TR"/>
        </w:rPr>
        <w:t> (1) Bu Yönetmelik hükümlerini Çalışma ve Sosyal Güvenlik Bakanı yürütür.</w:t>
      </w:r>
    </w:p>
    <w:p w:rsidR="007B2BC4" w:rsidRPr="007B2BC4" w:rsidRDefault="007B2BC4" w:rsidP="007B2BC4">
      <w:pPr>
        <w:shd w:val="clear" w:color="auto" w:fill="FFFFFF"/>
        <w:spacing w:after="0" w:line="240" w:lineRule="atLeast"/>
        <w:ind w:firstLine="56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ind w:left="3540" w:firstLine="708"/>
        <w:jc w:val="center"/>
        <w:rPr>
          <w:rFonts w:ascii="Calibri" w:eastAsia="Times New Roman" w:hAnsi="Calibri" w:cs="Times New Roman"/>
          <w:b/>
          <w:bCs/>
          <w:color w:val="1C283D"/>
          <w:lang w:eastAsia="tr-TR"/>
        </w:rPr>
      </w:pPr>
    </w:p>
    <w:p w:rsidR="007B2BC4" w:rsidRPr="007B2BC4" w:rsidRDefault="007B2BC4" w:rsidP="007B2BC4">
      <w:pPr>
        <w:shd w:val="clear" w:color="auto" w:fill="FFFFFF"/>
        <w:spacing w:after="0" w:line="240" w:lineRule="atLeast"/>
        <w:ind w:left="3540" w:firstLine="708"/>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EK – 1</w:t>
      </w:r>
      <w:r w:rsidRPr="007B2BC4">
        <w:rPr>
          <w:rFonts w:ascii="Calibri" w:eastAsia="Times New Roman" w:hAnsi="Calibri" w:cs="Times New Roman"/>
          <w:b/>
          <w:bCs/>
          <w:color w:val="1C283D"/>
          <w:vertAlign w:val="superscript"/>
          <w:lang w:eastAsia="tr-TR"/>
        </w:rPr>
        <w:t>(*) (**)</w:t>
      </w:r>
    </w:p>
    <w:p w:rsidR="007B2BC4" w:rsidRDefault="007B2BC4" w:rsidP="007B2BC4">
      <w:pPr>
        <w:shd w:val="clear" w:color="auto" w:fill="FFFFFF"/>
        <w:spacing w:after="0" w:line="240" w:lineRule="atLeast"/>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jc w:val="center"/>
        <w:rPr>
          <w:rFonts w:ascii="Calibri" w:eastAsia="Times New Roman" w:hAnsi="Calibri" w:cs="Times New Roman"/>
          <w:b/>
          <w:bCs/>
          <w:color w:val="1C283D"/>
          <w:lang w:eastAsia="tr-TR"/>
        </w:rPr>
      </w:pPr>
    </w:p>
    <w:p w:rsidR="007B2BC4" w:rsidRDefault="007B2BC4" w:rsidP="007B2BC4">
      <w:pPr>
        <w:shd w:val="clear" w:color="auto" w:fill="FFFFFF"/>
        <w:spacing w:after="0" w:line="240" w:lineRule="atLeast"/>
        <w:jc w:val="center"/>
        <w:rPr>
          <w:rFonts w:ascii="Calibri" w:eastAsia="Times New Roman" w:hAnsi="Calibri" w:cs="Times New Roman"/>
          <w:b/>
          <w:bCs/>
          <w:color w:val="1C283D"/>
          <w:lang w:eastAsia="tr-TR"/>
        </w:rPr>
      </w:pP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MESLEKİ MARUZİYET SINIR DEĞERLERİ</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1128"/>
        <w:gridCol w:w="1096"/>
        <w:gridCol w:w="2830"/>
        <w:gridCol w:w="913"/>
        <w:gridCol w:w="820"/>
        <w:gridCol w:w="821"/>
        <w:gridCol w:w="655"/>
        <w:gridCol w:w="949"/>
      </w:tblGrid>
      <w:tr w:rsidR="007B2BC4" w:rsidRPr="007B2BC4" w:rsidTr="007B2BC4">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EINECS </w:t>
            </w:r>
            <w:r w:rsidRPr="007B2BC4">
              <w:rPr>
                <w:rFonts w:ascii="Calibri" w:eastAsia="Times New Roman" w:hAnsi="Calibri" w:cs="Times New Roman"/>
                <w:b/>
                <w:bCs/>
                <w:vertAlign w:val="superscript"/>
                <w:lang w:eastAsia="tr-TR"/>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CAS </w:t>
            </w:r>
            <w:r w:rsidRPr="007B2BC4">
              <w:rPr>
                <w:rFonts w:ascii="Calibri" w:eastAsia="Times New Roman" w:hAnsi="Calibri" w:cs="Times New Roman"/>
                <w:b/>
                <w:bCs/>
                <w:vertAlign w:val="superscript"/>
                <w:lang w:eastAsia="tr-TR"/>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before="240" w:after="6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before="240" w:after="6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Özel İşaret </w:t>
            </w:r>
            <w:r w:rsidRPr="007B2BC4">
              <w:rPr>
                <w:rFonts w:ascii="Calibri" w:eastAsia="Times New Roman" w:hAnsi="Calibri" w:cs="Times New Roman"/>
                <w:b/>
                <w:bCs/>
                <w:vertAlign w:val="superscript"/>
                <w:lang w:eastAsia="tr-TR"/>
              </w:rPr>
              <w:t>(3)</w:t>
            </w:r>
          </w:p>
        </w:tc>
      </w:tr>
      <w:tr w:rsidR="007B2BC4" w:rsidRPr="007B2BC4" w:rsidTr="007B2BC4">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TWA </w:t>
            </w:r>
            <w:r w:rsidRPr="007B2BC4">
              <w:rPr>
                <w:rFonts w:ascii="Calibri" w:eastAsia="Times New Roman" w:hAnsi="Calibri" w:cs="Times New Roman"/>
                <w:b/>
                <w:bCs/>
                <w:vertAlign w:val="superscript"/>
                <w:lang w:eastAsia="tr-TR"/>
              </w:rPr>
              <w:t>(4)</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STEL </w:t>
            </w:r>
            <w:r w:rsidRPr="007B2BC4">
              <w:rPr>
                <w:rFonts w:ascii="Calibri" w:eastAsia="Times New Roman" w:hAnsi="Calibri" w:cs="Times New Roman"/>
                <w:b/>
                <w:bCs/>
                <w:vertAlign w:val="superscript"/>
                <w:lang w:eastAsia="tr-TR"/>
              </w:rPr>
              <w:t>(5)</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(15 Dak.)</w:t>
            </w:r>
          </w:p>
        </w:tc>
        <w:tc>
          <w:tcPr>
            <w:tcW w:w="0" w:type="auto"/>
            <w:vMerge/>
            <w:tcBorders>
              <w:top w:val="single" w:sz="8" w:space="0" w:color="auto"/>
              <w:left w:val="nil"/>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r>
      <w:tr w:rsidR="007B2BC4" w:rsidRPr="007B2BC4" w:rsidTr="007B2BC4">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7B2BC4" w:rsidRPr="007B2BC4" w:rsidRDefault="007B2BC4" w:rsidP="007B2BC4">
            <w:pPr>
              <w:spacing w:after="0" w:line="240" w:lineRule="auto"/>
              <w:rPr>
                <w:rFonts w:ascii="Calibri" w:eastAsia="Times New Roman" w:hAnsi="Calibri" w:cs="Times New Roman"/>
                <w:lang w:eastAsia="tr-TR"/>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mg/m</w:t>
            </w:r>
            <w:r w:rsidRPr="007B2BC4">
              <w:rPr>
                <w:rFonts w:ascii="Calibri" w:eastAsia="Times New Roman" w:hAnsi="Calibri" w:cs="Times New Roman"/>
                <w:b/>
                <w:bCs/>
                <w:vertAlign w:val="superscript"/>
                <w:lang w:eastAsia="tr-TR"/>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ppm </w:t>
            </w:r>
            <w:r w:rsidRPr="007B2BC4">
              <w:rPr>
                <w:rFonts w:ascii="Calibri" w:eastAsia="Times New Roman" w:hAnsi="Calibri" w:cs="Times New Roman"/>
                <w:b/>
                <w:bCs/>
                <w:vertAlign w:val="superscript"/>
                <w:lang w:eastAsia="tr-TR"/>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mg/m</w:t>
            </w:r>
            <w:r w:rsidRPr="007B2BC4">
              <w:rPr>
                <w:rFonts w:ascii="Calibri" w:eastAsia="Times New Roman" w:hAnsi="Calibri" w:cs="Times New Roman"/>
                <w:b/>
                <w:bCs/>
                <w:vertAlign w:val="superscript"/>
                <w:lang w:eastAsia="tr-TR"/>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ppm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 </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Baryum (Ba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Civa oksit ve civa klorid dahil olmak üzere civa ve iki değerlikli inorganik civa bileşikleri (civa 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Florürler (inorganik)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Gümüş  (Ag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rPr>
                <w:rFonts w:ascii="Calibri" w:eastAsia="Times New Roman" w:hAnsi="Calibri" w:cs="Times New Roman"/>
                <w:lang w:eastAsia="tr-TR"/>
              </w:rPr>
            </w:pPr>
            <w:r w:rsidRPr="007B2BC4">
              <w:rPr>
                <w:rFonts w:ascii="Calibri" w:eastAsia="Times New Roman" w:hAnsi="Calibri" w:cs="Times New Roman"/>
                <w:lang w:eastAsia="tr-TR"/>
              </w:rPr>
              <w:t>Metalik Krom, İnorganik Krom (II)</w:t>
            </w:r>
          </w:p>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N,N Dimetilformamid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1,1,1-Trikloroetan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Asetonitril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Karbon disülfit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1,1-Dikloroetan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Klorodiflorometan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İzopentan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Butanon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Propionikasit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lastRenderedPageBreak/>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Bisfenol 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Metil metakrilat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Pikrik asit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o-Ksilen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1,2-Diklorobenzen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1,2,4-Trimetilbenzen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Nitrobenzen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e-Kaprolaktam  (toz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1,4-Diklorobenzen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Allil 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1-Metoksipropanol-2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Vinil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4-Metilpentan-2-on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Resorsinol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2-Metoksi-1-metiletilasetat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Mesitilen (Trimetilbenzen’ler)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Toluen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Monoklorobenzen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Siklohegzanon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Tetrahidrofuran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5-Metilhegzan-2-on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Heptan-2-on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2-Metioksietil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2-Etoksi 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Siklohekzan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Piperazin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Piridin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Morfolin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2-Etoksietil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2-(2-Metoksietoksi)etanol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2-Butoksietil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2-(2-Bütoksietoksi)etanol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lastRenderedPageBreak/>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1,2,4-Triklorobenzen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Trietilamin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1,4 Dioksan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İzopentilasetat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Dimetilamin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N,N-Dimetilasetamid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n-Butilakrilat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n-Heptan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Siyanamid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Neopentan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1,2,3-Trimetilbenzen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5-Metilheptan-3-on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3-Pentilasetat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Metilizosiyanat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Amilasetat (tert)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1-Metilbutilasetat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n-Metil-2-pirolidon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Kalsiyumdihidroksit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Difosfor pentaoksit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Difosfor pentasülfür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Krezoller (Tüm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Ksilen (karışım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Tersiyer-bütil-metil-eter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Sulfotep</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Lityumhidrür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Hidrojen  florür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Ortofosforik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Amonyak  (anhidroz)</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Dihidrojen selenür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Fosfin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Piretrum (hassasiyete neden olan laktonlardan arındırlmış)</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10026-13-</w:t>
            </w:r>
            <w:r w:rsidRPr="007B2BC4">
              <w:rPr>
                <w:rFonts w:ascii="Calibri" w:eastAsia="Times New Roman" w:hAnsi="Calibri" w:cs="Times New Roman"/>
                <w:lang w:eastAsia="tr-TR"/>
              </w:rPr>
              <w:lastRenderedPageBreak/>
              <w:t>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lastRenderedPageBreak/>
              <w:t>Fosfor pentaklorür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lastRenderedPageBreak/>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Azotmonoksit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Sodyum azid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r w:rsidR="007B2BC4" w:rsidRPr="007B2BC4" w:rsidTr="007B2BC4">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rPr>
                <w:rFonts w:ascii="Calibri" w:eastAsia="Times New Roman" w:hAnsi="Calibri" w:cs="Times New Roman"/>
                <w:lang w:eastAsia="tr-TR"/>
              </w:rPr>
            </w:pPr>
            <w:r w:rsidRPr="007B2BC4">
              <w:rPr>
                <w:rFonts w:ascii="Calibri" w:eastAsia="Times New Roman" w:hAnsi="Calibri" w:cs="Times New Roman"/>
                <w:lang w:eastAsia="tr-TR"/>
              </w:rPr>
              <w:t>(2-Metoksimetiletoksi)-propanol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Deri</w:t>
            </w:r>
          </w:p>
        </w:tc>
      </w:tr>
    </w:tbl>
    <w:p w:rsidR="007B2BC4" w:rsidRPr="007B2BC4" w:rsidRDefault="007B2BC4" w:rsidP="007B2BC4">
      <w:pPr>
        <w:shd w:val="clear" w:color="auto" w:fill="FFFFFF"/>
        <w:spacing w:after="0" w:line="240" w:lineRule="atLeast"/>
        <w:ind w:left="426" w:hanging="42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r w:rsidRPr="007B2BC4">
        <w:rPr>
          <w:rFonts w:ascii="Calibri" w:eastAsia="Times New Roman" w:hAnsi="Calibri" w:cs="Times New Roman"/>
          <w:b/>
          <w:bCs/>
          <w:color w:val="1C283D"/>
          <w:vertAlign w:val="superscript"/>
          <w:lang w:eastAsia="tr-TR"/>
        </w:rPr>
        <w:t>* </w:t>
      </w:r>
      <w:r w:rsidRPr="007B2BC4">
        <w:rPr>
          <w:rFonts w:ascii="Calibri" w:eastAsia="Times New Roman" w:hAnsi="Calibri" w:cs="Times New Roman"/>
          <w:b/>
          <w:bCs/>
          <w:color w:val="1C283D"/>
          <w:lang w:eastAsia="tr-TR"/>
        </w:rPr>
        <w:t>)      1998 / 24 / EC, 2000 / 39 / EC, 1991 / 322 / EC, 2006 / 15 / EC ve 2009 / 161 / EU sayılı Direktiflerin ekleridir.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6331 sayılı Kanun uyarınca çıkarılan mevzuatın uygulanmasında uluslararası kuruluşlarca yayımlanmış sınır değerler de dikkate alınabilir.</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1  </w:t>
      </w:r>
      <w:r w:rsidRPr="007B2BC4">
        <w:rPr>
          <w:rFonts w:ascii="Calibri" w:eastAsia="Times New Roman" w:hAnsi="Calibri" w:cs="Times New Roman"/>
          <w:color w:val="1C283D"/>
          <w:lang w:eastAsia="tr-TR"/>
        </w:rPr>
        <w:t>)     EINECS        :    Avrupa Mevcut Ticari Kimyasal Maddeler Envanteri.</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2  </w:t>
      </w:r>
      <w:r w:rsidRPr="007B2BC4">
        <w:rPr>
          <w:rFonts w:ascii="Calibri" w:eastAsia="Times New Roman" w:hAnsi="Calibri" w:cs="Times New Roman"/>
          <w:color w:val="1C283D"/>
          <w:lang w:eastAsia="tr-TR"/>
        </w:rPr>
        <w:t>)     CAS               :    Kimyasal maddelerin servis kayıt numarası.</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3 </w:t>
      </w:r>
      <w:r w:rsidRPr="007B2BC4">
        <w:rPr>
          <w:rFonts w:ascii="Calibri" w:eastAsia="Times New Roman" w:hAnsi="Calibri" w:cs="Times New Roman"/>
          <w:color w:val="1C283D"/>
          <w:lang w:eastAsia="tr-TR"/>
        </w:rPr>
        <w:t>)     Özel işaret :    “Deri” işareti, vücuda önemli miktarda deri yoluyla geçebileceğini gösterir.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4  </w:t>
      </w:r>
      <w:r w:rsidRPr="007B2BC4">
        <w:rPr>
          <w:rFonts w:ascii="Calibri" w:eastAsia="Times New Roman" w:hAnsi="Calibri" w:cs="Times New Roman"/>
          <w:color w:val="1C283D"/>
          <w:lang w:eastAsia="tr-TR"/>
        </w:rPr>
        <w:t>)     TWA             :    8 saatlik belirlenen referans süre için ölçülen veya hesaplanan zaman ağırlıklı ortalama.</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5  </w:t>
      </w:r>
      <w:r w:rsidRPr="007B2BC4">
        <w:rPr>
          <w:rFonts w:ascii="Calibri" w:eastAsia="Times New Roman" w:hAnsi="Calibri" w:cs="Times New Roman"/>
          <w:color w:val="1C283D"/>
          <w:lang w:eastAsia="tr-TR"/>
        </w:rPr>
        <w:t>)     STEL</w:t>
      </w:r>
      <w:r w:rsidRPr="007B2BC4">
        <w:rPr>
          <w:rFonts w:ascii="Calibri" w:eastAsia="Times New Roman" w:hAnsi="Calibri" w:cs="Times New Roman"/>
          <w:b/>
          <w:bCs/>
          <w:color w:val="1C283D"/>
          <w:lang w:eastAsia="tr-TR"/>
        </w:rPr>
        <w:t>              </w:t>
      </w:r>
      <w:r w:rsidRPr="007B2BC4">
        <w:rPr>
          <w:rFonts w:ascii="Calibri" w:eastAsia="Times New Roman" w:hAnsi="Calibri" w:cs="Times New Roman"/>
          <w:color w:val="1C283D"/>
          <w:lang w:eastAsia="tr-TR"/>
        </w:rPr>
        <w:t>:    Başka bir süre belirtilmedikçe, 15 dakikalık bir süre için aşılmaması gereken maruziyet üst</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sınır değeri.</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6  </w:t>
      </w:r>
      <w:r w:rsidRPr="007B2BC4">
        <w:rPr>
          <w:rFonts w:ascii="Calibri" w:eastAsia="Times New Roman" w:hAnsi="Calibri" w:cs="Times New Roman"/>
          <w:color w:val="1C283D"/>
          <w:lang w:eastAsia="tr-TR"/>
        </w:rPr>
        <w:t>)     mg/m</w:t>
      </w:r>
      <w:r w:rsidRPr="007B2BC4">
        <w:rPr>
          <w:rFonts w:ascii="Calibri" w:eastAsia="Times New Roman" w:hAnsi="Calibri" w:cs="Times New Roman"/>
          <w:color w:val="1C283D"/>
          <w:vertAlign w:val="superscript"/>
          <w:lang w:eastAsia="tr-TR"/>
        </w:rPr>
        <w:t>3</w:t>
      </w:r>
      <w:r w:rsidRPr="007B2BC4">
        <w:rPr>
          <w:rFonts w:ascii="Calibri" w:eastAsia="Times New Roman" w:hAnsi="Calibri" w:cs="Times New Roman"/>
          <w:b/>
          <w:bCs/>
          <w:color w:val="1C283D"/>
          <w:vertAlign w:val="superscript"/>
          <w:lang w:eastAsia="tr-TR"/>
        </w:rPr>
        <w:t>             </w:t>
      </w:r>
      <w:r w:rsidRPr="007B2BC4">
        <w:rPr>
          <w:rFonts w:ascii="Calibri" w:eastAsia="Times New Roman" w:hAnsi="Calibri" w:cs="Times New Roman"/>
          <w:color w:val="1C283D"/>
          <w:lang w:eastAsia="tr-TR"/>
        </w:rPr>
        <w:t>:    20 </w:t>
      </w:r>
      <w:r w:rsidRPr="007B2BC4">
        <w:rPr>
          <w:rFonts w:ascii="Calibri" w:eastAsia="Times New Roman" w:hAnsi="Calibri" w:cs="Times New Roman"/>
          <w:color w:val="1C283D"/>
          <w:vertAlign w:val="superscript"/>
          <w:lang w:eastAsia="tr-TR"/>
        </w:rPr>
        <w:t>o</w:t>
      </w:r>
      <w:r w:rsidRPr="007B2BC4">
        <w:rPr>
          <w:rFonts w:ascii="Calibri" w:eastAsia="Times New Roman" w:hAnsi="Calibri" w:cs="Times New Roman"/>
          <w:color w:val="1C283D"/>
          <w:lang w:eastAsia="tr-TR"/>
        </w:rPr>
        <w:t>C</w:t>
      </w:r>
      <w:r w:rsidRPr="007B2BC4">
        <w:rPr>
          <w:rFonts w:ascii="Calibri" w:eastAsia="Times New Roman" w:hAnsi="Calibri" w:cs="Times New Roman"/>
          <w:color w:val="1C283D"/>
          <w:vertAlign w:val="superscript"/>
          <w:lang w:eastAsia="tr-TR"/>
        </w:rPr>
        <w:t> </w:t>
      </w:r>
      <w:r w:rsidRPr="007B2BC4">
        <w:rPr>
          <w:rFonts w:ascii="Calibri" w:eastAsia="Times New Roman" w:hAnsi="Calibri" w:cs="Times New Roman"/>
          <w:color w:val="1C283D"/>
          <w:lang w:eastAsia="tr-TR"/>
        </w:rPr>
        <w:t>sıcaklıkta ve 101,3 KPa. (760 mm cıva basıncı) basınçtaki 1 m</w:t>
      </w:r>
      <w:r w:rsidRPr="007B2BC4">
        <w:rPr>
          <w:rFonts w:ascii="Calibri" w:eastAsia="Times New Roman" w:hAnsi="Calibri" w:cs="Times New Roman"/>
          <w:color w:val="1C283D"/>
          <w:vertAlign w:val="superscript"/>
          <w:lang w:eastAsia="tr-TR"/>
        </w:rPr>
        <w:t>3</w:t>
      </w:r>
      <w:r w:rsidRPr="007B2BC4">
        <w:rPr>
          <w:rFonts w:ascii="Calibri" w:eastAsia="Times New Roman" w:hAnsi="Calibri" w:cs="Times New Roman"/>
          <w:color w:val="1C283D"/>
          <w:lang w:eastAsia="tr-TR"/>
        </w:rPr>
        <w:t> havada bulunan</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maddenin miligram cinsinden miktarı.</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7  </w:t>
      </w:r>
      <w:r w:rsidRPr="007B2BC4">
        <w:rPr>
          <w:rFonts w:ascii="Calibri" w:eastAsia="Times New Roman" w:hAnsi="Calibri" w:cs="Times New Roman"/>
          <w:color w:val="1C283D"/>
          <w:lang w:eastAsia="tr-TR"/>
        </w:rPr>
        <w:t>)     ppm </w:t>
      </w:r>
      <w:r w:rsidRPr="007B2BC4">
        <w:rPr>
          <w:rFonts w:ascii="Calibri" w:eastAsia="Times New Roman" w:hAnsi="Calibri" w:cs="Times New Roman"/>
          <w:b/>
          <w:bCs/>
          <w:color w:val="1C283D"/>
          <w:lang w:eastAsia="tr-TR"/>
        </w:rPr>
        <w:t>            </w:t>
      </w:r>
      <w:r w:rsidRPr="007B2BC4">
        <w:rPr>
          <w:rFonts w:ascii="Calibri" w:eastAsia="Times New Roman" w:hAnsi="Calibri" w:cs="Times New Roman"/>
          <w:color w:val="1C283D"/>
          <w:lang w:eastAsia="tr-TR"/>
        </w:rPr>
        <w:t>:    1 m</w:t>
      </w:r>
      <w:r w:rsidRPr="007B2BC4">
        <w:rPr>
          <w:rFonts w:ascii="Calibri" w:eastAsia="Times New Roman" w:hAnsi="Calibri" w:cs="Times New Roman"/>
          <w:color w:val="1C283D"/>
          <w:vertAlign w:val="superscript"/>
          <w:lang w:eastAsia="tr-TR"/>
        </w:rPr>
        <w:t>3</w:t>
      </w:r>
      <w:r w:rsidRPr="007B2BC4">
        <w:rPr>
          <w:rFonts w:ascii="Calibri" w:eastAsia="Times New Roman" w:hAnsi="Calibri" w:cs="Times New Roman"/>
          <w:b/>
          <w:bCs/>
          <w:color w:val="1C283D"/>
          <w:lang w:eastAsia="tr-TR"/>
        </w:rPr>
        <w:t> </w:t>
      </w:r>
      <w:r w:rsidRPr="007B2BC4">
        <w:rPr>
          <w:rFonts w:ascii="Calibri" w:eastAsia="Times New Roman" w:hAnsi="Calibri" w:cs="Times New Roman"/>
          <w:color w:val="1C283D"/>
          <w:lang w:eastAsia="tr-TR"/>
        </w:rPr>
        <w:t>havada bulunan maddenin mililitre cinsinden miktarı (ml/m</w:t>
      </w:r>
      <w:r w:rsidRPr="007B2BC4">
        <w:rPr>
          <w:rFonts w:ascii="Calibri" w:eastAsia="Times New Roman" w:hAnsi="Calibri" w:cs="Times New Roman"/>
          <w:color w:val="1C283D"/>
          <w:vertAlign w:val="superscript"/>
          <w:lang w:eastAsia="tr-TR"/>
        </w:rPr>
        <w:t>3</w:t>
      </w:r>
      <w:r w:rsidRPr="007B2BC4">
        <w:rPr>
          <w:rFonts w:ascii="Calibri" w:eastAsia="Times New Roman" w:hAnsi="Calibri" w:cs="Times New Roman"/>
          <w:color w:val="1C283D"/>
          <w:lang w:eastAsia="tr-TR"/>
        </w:rPr>
        <w:t>).</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 </w:t>
      </w:r>
      <w:r w:rsidRPr="007B2BC4">
        <w:rPr>
          <w:rFonts w:ascii="Calibri" w:eastAsia="Times New Roman" w:hAnsi="Calibri" w:cs="Times New Roman"/>
          <w:color w:val="1C283D"/>
          <w:vertAlign w:val="superscript"/>
          <w:lang w:eastAsia="tr-TR"/>
        </w:rPr>
        <w:t>8  </w:t>
      </w:r>
      <w:r w:rsidRPr="007B2BC4">
        <w:rPr>
          <w:rFonts w:ascii="Calibri" w:eastAsia="Times New Roman" w:hAnsi="Calibri" w:cs="Times New Roman"/>
          <w:color w:val="1C283D"/>
          <w:lang w:eastAsia="tr-TR"/>
        </w:rPr>
        <w:t>)                          :  Civa ve iki değerlikli inorganik bileşiklerine maruziyetin izlenmesinde (belirlenmesinde), mesleki maruziyet sınır değerlerini tamamlayıcı ilgili biyolojik izleme teknikleri de dikkate alınacaktır.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9  </w:t>
      </w:r>
      <w:r w:rsidRPr="007B2BC4">
        <w:rPr>
          <w:rFonts w:ascii="Calibri" w:eastAsia="Times New Roman" w:hAnsi="Calibri" w:cs="Times New Roman"/>
          <w:color w:val="1C283D"/>
          <w:lang w:eastAsia="tr-TR"/>
        </w:rPr>
        <w:t>)                           :    Sağlığa etkileri konusunda, sınırlı bilimsel veri bulunan maddeler.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10 </w:t>
      </w:r>
      <w:r w:rsidRPr="007B2BC4">
        <w:rPr>
          <w:rFonts w:ascii="Calibri" w:eastAsia="Times New Roman" w:hAnsi="Calibri" w:cs="Times New Roman"/>
          <w:color w:val="1C283D"/>
          <w:lang w:eastAsia="tr-TR"/>
        </w:rPr>
        <w:t>)                          :  Uygun maruziyet izleme yöntemi seçilirken,  ortamda bulunabilecek diğer sülfür bileşiklerinin olası  sınırlamaları ve etkileşimleri de dikkate alınacaktır.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11 </w:t>
      </w:r>
      <w:r w:rsidRPr="007B2BC4">
        <w:rPr>
          <w:rFonts w:ascii="Calibri" w:eastAsia="Times New Roman" w:hAnsi="Calibri" w:cs="Times New Roman"/>
          <w:color w:val="1C283D"/>
          <w:lang w:eastAsia="tr-TR"/>
        </w:rPr>
        <w:t>)  Buhar             :  Gırtlağı geçen ve havanın iletildiği kanallara (soluk borusu, bifürkasyonlar) ve ciğerin solunum ile  ilgili bölgelerine (toraks) nüfuz eden ortalama 10 µm çapındaki solunabilir partiküller  olarak tanımlanır.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EK – 2</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BİYOLOJİK SINIR DEĞERLER  VE SAĞLIK GÖZETİMİ ÖNLEMLERİ</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6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Kurşun ve iyonik kurşun bileşikleri</w:t>
      </w:r>
    </w:p>
    <w:p w:rsidR="007B2BC4" w:rsidRPr="007B2BC4" w:rsidRDefault="007B2BC4" w:rsidP="007B2BC4">
      <w:pPr>
        <w:shd w:val="clear" w:color="auto" w:fill="FFFFFF"/>
        <w:spacing w:after="6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1.1.</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Biyolojik izleme, absorbsiyon spektrometri veya eşdeğer sonucu veren bir başka metod kullanılarak, kanda kurşun seviyesinin (PbB) ölçümünü de kapsar.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Bağlayıcı biyolojik sınır değer:  70 μg Pb/100 ml kan.</w:t>
      </w:r>
    </w:p>
    <w:p w:rsidR="007B2BC4" w:rsidRPr="007B2BC4" w:rsidRDefault="007B2BC4" w:rsidP="007B2BC4">
      <w:pPr>
        <w:shd w:val="clear" w:color="auto" w:fill="FFFFFF"/>
        <w:spacing w:after="6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1.2.</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Aşağıdaki durumlarda tıbbi gözetim yapılır:</w:t>
      </w:r>
    </w:p>
    <w:p w:rsidR="007B2BC4" w:rsidRPr="007B2BC4" w:rsidRDefault="007B2BC4" w:rsidP="007B2BC4">
      <w:pPr>
        <w:shd w:val="clear" w:color="auto" w:fill="FFFFFF"/>
        <w:spacing w:after="6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1.2.1.</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Havadaki kurşunun, haftada 40 saat çalışma süresine göre hesaplanmış, zaman ağırlıklı ortalama konsantrasyonu 0.075 mg/m</w:t>
      </w:r>
      <w:r w:rsidRPr="007B2BC4">
        <w:rPr>
          <w:rFonts w:ascii="Calibri" w:eastAsia="Times New Roman" w:hAnsi="Calibri" w:cs="Times New Roman"/>
          <w:color w:val="1C283D"/>
          <w:vertAlign w:val="superscript"/>
          <w:lang w:eastAsia="tr-TR"/>
        </w:rPr>
        <w:t>3 </w:t>
      </w:r>
      <w:r w:rsidRPr="007B2BC4">
        <w:rPr>
          <w:rFonts w:ascii="Calibri" w:eastAsia="Times New Roman" w:hAnsi="Calibri" w:cs="Times New Roman"/>
          <w:color w:val="1C283D"/>
          <w:lang w:eastAsia="tr-TR"/>
        </w:rPr>
        <w:t>ten fazla ise,</w:t>
      </w:r>
    </w:p>
    <w:p w:rsidR="007B2BC4" w:rsidRPr="007B2BC4" w:rsidRDefault="007B2BC4" w:rsidP="007B2BC4">
      <w:pPr>
        <w:shd w:val="clear" w:color="auto" w:fill="FFFFFF"/>
        <w:spacing w:after="6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1.2.2.</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Çalışanlardan herhangi birinin kanındaki kurşun seviyesi 40 μg Pb/100 ml kandan fazla ise.</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lastRenderedPageBreak/>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EK – 3</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KULLANIMI YASAK OLAN KİMYASAL MADDELER İLE YAPILMASI YASAKLANAN İŞLER</w:t>
      </w:r>
    </w:p>
    <w:p w:rsidR="007B2BC4" w:rsidRPr="007B2BC4" w:rsidRDefault="007B2BC4" w:rsidP="007B2BC4">
      <w:pPr>
        <w:shd w:val="clear" w:color="auto" w:fill="FFFFFF"/>
        <w:spacing w:after="0" w:line="240" w:lineRule="atLeast"/>
        <w:ind w:left="1260"/>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ind w:right="-1"/>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Aşağıda belirtilen kimyasal maddelerin ithali, üretimi ve bu maddelerin işyerinde kullanımı ile kimyasal maddeler ihtiva eden aşağıda belirtilen işlerin yapılması yasaktır. Ancak bu maddelerin başka bir kimyasal madde içindeki veya atık maddedeki konsantrasyonu, aşağıda verilen limit değerlerin altında bulunuyorsa bu yasak uygulanmaz.</w:t>
      </w:r>
    </w:p>
    <w:p w:rsidR="007B2BC4" w:rsidRPr="007B2BC4" w:rsidRDefault="007B2BC4" w:rsidP="007B2BC4">
      <w:pPr>
        <w:shd w:val="clear" w:color="auto" w:fill="FFFFFF"/>
        <w:spacing w:after="0" w:line="240" w:lineRule="atLeast"/>
        <w:ind w:right="-1"/>
        <w:jc w:val="both"/>
        <w:rPr>
          <w:rFonts w:ascii="Calibri" w:eastAsia="Times New Roman" w:hAnsi="Calibri" w:cs="Times New Roman"/>
          <w:color w:val="1C283D"/>
          <w:lang w:eastAsia="tr-TR"/>
        </w:rPr>
      </w:pPr>
      <w:r w:rsidRPr="007B2BC4">
        <w:rPr>
          <w:rFonts w:ascii="Calibri" w:eastAsia="Times New Roman" w:hAnsi="Calibri" w:cs="Times New Roman"/>
          <w:b/>
          <w:bCs/>
          <w:color w:val="0000FF"/>
          <w:lang w:eastAsia="tr-TR"/>
        </w:rPr>
        <w:t> </w:t>
      </w:r>
    </w:p>
    <w:p w:rsidR="007B2BC4" w:rsidRPr="007B2BC4" w:rsidRDefault="007B2BC4" w:rsidP="007B2BC4">
      <w:pPr>
        <w:shd w:val="clear" w:color="auto" w:fill="FFFFFF"/>
        <w:spacing w:after="0" w:line="240" w:lineRule="atLeast"/>
        <w:ind w:left="426" w:right="-1" w:hanging="426"/>
        <w:jc w:val="both"/>
        <w:textAlignment w:val="baseline"/>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a)</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Kimyasal Maddeler:</w:t>
      </w:r>
    </w:p>
    <w:p w:rsidR="007B2BC4" w:rsidRPr="007B2BC4" w:rsidRDefault="007B2BC4" w:rsidP="007B2BC4">
      <w:pPr>
        <w:shd w:val="clear" w:color="auto" w:fill="FFFFFF"/>
        <w:spacing w:after="0" w:line="240" w:lineRule="atLeast"/>
        <w:ind w:left="426" w:right="-1" w:hanging="426"/>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1597"/>
        <w:gridCol w:w="1509"/>
        <w:gridCol w:w="2506"/>
        <w:gridCol w:w="2893"/>
      </w:tblGrid>
      <w:tr w:rsidR="007B2BC4" w:rsidRPr="007B2BC4" w:rsidTr="007B2BC4">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b/>
                <w:bCs/>
                <w:lang w:eastAsia="tr-TR"/>
              </w:rPr>
              <w:t>EINECS No ( </w:t>
            </w:r>
            <w:r w:rsidRPr="007B2BC4">
              <w:rPr>
                <w:rFonts w:ascii="Calibri" w:eastAsia="Times New Roman" w:hAnsi="Calibri" w:cs="Times New Roman"/>
                <w:b/>
                <w:bCs/>
                <w:vertAlign w:val="superscript"/>
                <w:lang w:eastAsia="tr-TR"/>
              </w:rPr>
              <w:t>1 </w:t>
            </w:r>
            <w:r w:rsidRPr="007B2BC4">
              <w:rPr>
                <w:rFonts w:ascii="Calibri" w:eastAsia="Times New Roman" w:hAnsi="Calibri" w:cs="Times New Roman"/>
                <w:b/>
                <w:bCs/>
                <w:lang w:eastAsia="tr-TR"/>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b/>
                <w:bCs/>
                <w:lang w:eastAsia="tr-TR"/>
              </w:rPr>
              <w:t>CAS No ( </w:t>
            </w:r>
            <w:r w:rsidRPr="007B2BC4">
              <w:rPr>
                <w:rFonts w:ascii="Calibri" w:eastAsia="Times New Roman" w:hAnsi="Calibri" w:cs="Times New Roman"/>
                <w:b/>
                <w:bCs/>
                <w:vertAlign w:val="superscript"/>
                <w:lang w:eastAsia="tr-TR"/>
              </w:rPr>
              <w:t>2 </w:t>
            </w:r>
            <w:r w:rsidRPr="007B2BC4">
              <w:rPr>
                <w:rFonts w:ascii="Calibri" w:eastAsia="Times New Roman" w:hAnsi="Calibri" w:cs="Times New Roman"/>
                <w:b/>
                <w:bCs/>
                <w:lang w:eastAsia="tr-TR"/>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b/>
                <w:bCs/>
                <w:lang w:eastAsia="tr-TR"/>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Yasak Uygulanmayacak</w:t>
            </w:r>
          </w:p>
          <w:p w:rsidR="007B2BC4" w:rsidRPr="007B2BC4" w:rsidRDefault="007B2BC4" w:rsidP="007B2BC4">
            <w:pPr>
              <w:spacing w:after="0" w:line="2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Limit Değer</w:t>
            </w:r>
          </w:p>
        </w:tc>
      </w:tr>
      <w:tr w:rsidR="007B2BC4" w:rsidRPr="007B2BC4" w:rsidTr="007B2BC4">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left="256" w:right="-1"/>
              <w:rPr>
                <w:rFonts w:ascii="Calibri" w:eastAsia="Times New Roman" w:hAnsi="Calibri" w:cs="Times New Roman"/>
                <w:lang w:eastAsia="tr-TR"/>
              </w:rPr>
            </w:pPr>
            <w:r w:rsidRPr="007B2BC4">
              <w:rPr>
                <w:rFonts w:ascii="Calibri" w:eastAsia="Times New Roman" w:hAnsi="Calibri" w:cs="Times New Roman"/>
                <w:lang w:eastAsia="tr-TR"/>
              </w:rP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 0,1 (ağırlıkça)</w:t>
            </w:r>
          </w:p>
        </w:tc>
      </w:tr>
      <w:tr w:rsidR="007B2BC4" w:rsidRPr="007B2BC4" w:rsidTr="007B2BC4">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left="256" w:right="-1"/>
              <w:rPr>
                <w:rFonts w:ascii="Calibri" w:eastAsia="Times New Roman" w:hAnsi="Calibri" w:cs="Times New Roman"/>
                <w:lang w:eastAsia="tr-TR"/>
              </w:rPr>
            </w:pPr>
            <w:r w:rsidRPr="007B2BC4">
              <w:rPr>
                <w:rFonts w:ascii="Calibri" w:eastAsia="Times New Roman" w:hAnsi="Calibri" w:cs="Times New Roman"/>
                <w:lang w:eastAsia="tr-TR"/>
              </w:rP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 0,1 (ağırlıkça)</w:t>
            </w:r>
          </w:p>
        </w:tc>
      </w:tr>
      <w:tr w:rsidR="007B2BC4" w:rsidRPr="007B2BC4" w:rsidTr="007B2BC4">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left="256" w:right="-1"/>
              <w:rPr>
                <w:rFonts w:ascii="Calibri" w:eastAsia="Times New Roman" w:hAnsi="Calibri" w:cs="Times New Roman"/>
                <w:lang w:eastAsia="tr-TR"/>
              </w:rPr>
            </w:pPr>
            <w:r w:rsidRPr="007B2BC4">
              <w:rPr>
                <w:rFonts w:ascii="Calibri" w:eastAsia="Times New Roman" w:hAnsi="Calibri" w:cs="Times New Roman"/>
                <w:lang w:eastAsia="tr-TR"/>
              </w:rPr>
              <w:t>Benzidin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 0,1 (ağırlıkça)</w:t>
            </w:r>
          </w:p>
        </w:tc>
      </w:tr>
      <w:tr w:rsidR="007B2BC4" w:rsidRPr="007B2BC4" w:rsidTr="007B2BC4">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left="256" w:right="-1"/>
              <w:rPr>
                <w:rFonts w:ascii="Calibri" w:eastAsia="Times New Roman" w:hAnsi="Calibri" w:cs="Times New Roman"/>
                <w:lang w:eastAsia="tr-TR"/>
              </w:rPr>
            </w:pPr>
            <w:r w:rsidRPr="007B2BC4">
              <w:rPr>
                <w:rFonts w:ascii="Calibri" w:eastAsia="Times New Roman" w:hAnsi="Calibri" w:cs="Times New Roman"/>
                <w:lang w:eastAsia="tr-TR"/>
              </w:rP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7B2BC4" w:rsidRPr="007B2BC4" w:rsidRDefault="007B2BC4" w:rsidP="007B2BC4">
            <w:pPr>
              <w:spacing w:after="0" w:line="20" w:lineRule="atLeast"/>
              <w:ind w:right="-1"/>
              <w:jc w:val="center"/>
              <w:rPr>
                <w:rFonts w:ascii="Calibri" w:eastAsia="Times New Roman" w:hAnsi="Calibri" w:cs="Times New Roman"/>
                <w:lang w:eastAsia="tr-TR"/>
              </w:rPr>
            </w:pPr>
            <w:r w:rsidRPr="007B2BC4">
              <w:rPr>
                <w:rFonts w:ascii="Calibri" w:eastAsia="Times New Roman" w:hAnsi="Calibri" w:cs="Times New Roman"/>
                <w:lang w:eastAsia="tr-TR"/>
              </w:rPr>
              <w:t>% 0,1 (ağırlıkça)</w:t>
            </w:r>
          </w:p>
        </w:tc>
      </w:tr>
    </w:tbl>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1 </w:t>
      </w:r>
      <w:r w:rsidRPr="007B2BC4">
        <w:rPr>
          <w:rFonts w:ascii="Calibri" w:eastAsia="Times New Roman" w:hAnsi="Calibri" w:cs="Times New Roman"/>
          <w:color w:val="1C283D"/>
          <w:lang w:eastAsia="tr-TR"/>
        </w:rPr>
        <w:t>)   EINECS     :  Avrupa Mevcut Ticari Kimyasal Maddeler Envanteri.</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r w:rsidRPr="007B2BC4">
        <w:rPr>
          <w:rFonts w:ascii="Calibri" w:eastAsia="Times New Roman" w:hAnsi="Calibri" w:cs="Times New Roman"/>
          <w:color w:val="1C283D"/>
          <w:vertAlign w:val="superscript"/>
          <w:lang w:eastAsia="tr-TR"/>
        </w:rPr>
        <w:t>2 </w:t>
      </w:r>
      <w:r w:rsidRPr="007B2BC4">
        <w:rPr>
          <w:rFonts w:ascii="Calibri" w:eastAsia="Times New Roman" w:hAnsi="Calibri" w:cs="Times New Roman"/>
          <w:color w:val="1C283D"/>
          <w:lang w:eastAsia="tr-TR"/>
        </w:rPr>
        <w:t>)   CAS           :  Kimyasal maddelerin servis kayıt numarası.</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ind w:left="426" w:right="-1" w:hanging="426"/>
        <w:jc w:val="both"/>
        <w:textAlignment w:val="baseline"/>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b)</w:t>
      </w:r>
      <w:r w:rsidRPr="007B2BC4">
        <w:rPr>
          <w:rFonts w:ascii="Times New Roman" w:eastAsia="Times New Roman" w:hAnsi="Times New Roman" w:cs="Times New Roman"/>
          <w:color w:val="1C283D"/>
          <w:sz w:val="14"/>
          <w:szCs w:val="14"/>
          <w:lang w:eastAsia="tr-TR"/>
        </w:rPr>
        <w:t>        </w:t>
      </w:r>
      <w:r w:rsidRPr="007B2BC4">
        <w:rPr>
          <w:rFonts w:ascii="Calibri" w:eastAsia="Times New Roman" w:hAnsi="Calibri" w:cs="Times New Roman"/>
          <w:color w:val="1C283D"/>
          <w:lang w:eastAsia="tr-TR"/>
        </w:rPr>
        <w:t>Yapılan işler :                                         -</w:t>
      </w:r>
    </w:p>
    <w:p w:rsidR="007B2BC4" w:rsidRPr="007B2BC4" w:rsidRDefault="007B2BC4" w:rsidP="007B2BC4">
      <w:pPr>
        <w:shd w:val="clear" w:color="auto" w:fill="FFFFFF"/>
        <w:spacing w:after="0" w:line="240" w:lineRule="atLeast"/>
        <w:ind w:left="426" w:right="-1"/>
        <w:jc w:val="both"/>
        <w:textAlignment w:val="baseline"/>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right"/>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EK – 4</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FF0000"/>
          <w:lang w:eastAsia="tr-TR"/>
        </w:rPr>
        <w:t> </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SIVI OKSİJEN, SIVI ARGON VE SIVI AZOT DEPOLAMA TANKLARI İLE İLGİLİ GÜVENLİK MESAFELERİ</w:t>
      </w:r>
    </w:p>
    <w:p w:rsidR="007B2BC4" w:rsidRPr="007B2BC4" w:rsidRDefault="007B2BC4" w:rsidP="007B2BC4">
      <w:pPr>
        <w:shd w:val="clear" w:color="auto" w:fill="FFFFFF"/>
        <w:spacing w:after="0" w:line="240" w:lineRule="atLeast"/>
        <w:jc w:val="center"/>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a) Sıvı Oksijen tankları için:</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Tablo 1: Vana, flanş gibi ek yeri olmayan yanıcı gaz veya sıvı boru hatları ile oksijen depolama tankı arasındaki uzaklıklar.</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7B2BC4" w:rsidRPr="007B2BC4" w:rsidTr="007B2BC4">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Tank kapasitesi (m</w:t>
            </w:r>
            <w:r w:rsidRPr="007B2BC4">
              <w:rPr>
                <w:rFonts w:ascii="Calibri" w:eastAsia="Times New Roman" w:hAnsi="Calibri" w:cs="Times New Roman"/>
                <w:b/>
                <w:bCs/>
                <w:vertAlign w:val="superscript"/>
                <w:lang w:eastAsia="tr-TR"/>
              </w:rPr>
              <w:t>3</w:t>
            </w:r>
            <w:r w:rsidRPr="007B2BC4">
              <w:rPr>
                <w:rFonts w:ascii="Calibri" w:eastAsia="Times New Roman" w:hAnsi="Calibri" w:cs="Times New Roman"/>
                <w:b/>
                <w:bCs/>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Uzaklık (m)</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r>
    </w:tbl>
    <w:p w:rsid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lastRenderedPageBreak/>
        <w:t>Tablo 2: Araç park yerleri, işyerinin sınırları, açık alev ve sigara içmeye izin verilen yerler, yüksek basınçlı yanmayan gaz depoları, yüksek ve orta gerilimdeki elektrik transformatörleri, yanıcı malzeme depoları (ahşap bina ve yapılar), her türlü makine ve ekipman, maden ocakları, kanal ve logarlar, kuyu ve benzeri  yapılar, yanıcı gaz ve sıvı  boru hatlarındaki vanalar, flanşlar ve ek yerleri ile  oksijen depolama tankı arasındaki uzaklıklar.</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7B2BC4" w:rsidRPr="007B2BC4" w:rsidTr="007B2BC4">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Tank kapasitesi (m</w:t>
            </w:r>
            <w:r w:rsidRPr="007B2BC4">
              <w:rPr>
                <w:rFonts w:ascii="Calibri" w:eastAsia="Times New Roman" w:hAnsi="Calibri" w:cs="Times New Roman"/>
                <w:b/>
                <w:bCs/>
                <w:vertAlign w:val="superscript"/>
                <w:lang w:eastAsia="tr-TR"/>
              </w:rPr>
              <w:t>3</w:t>
            </w:r>
            <w:r w:rsidRPr="007B2BC4">
              <w:rPr>
                <w:rFonts w:ascii="Calibri" w:eastAsia="Times New Roman" w:hAnsi="Calibri" w:cs="Times New Roman"/>
                <w:b/>
                <w:bCs/>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Uzaklık (m)</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r>
    </w:tbl>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Tablo 3: Ofis, kantin, çalışanların ve ziyaretçilerin toplandığı bina ve benzeri yerler, kompresör, vantilatör, hava çekiş yerleri, yüksek miktarda parlayıcı gaz ve LPG’nin ulusal kanunlara uygun olarak depolandığı yerler ile oksijen tankı arasındaki uzaklıklar.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7B2BC4" w:rsidRPr="007B2BC4" w:rsidTr="007B2BC4">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Tank kapasitesi (m</w:t>
            </w:r>
            <w:r w:rsidRPr="007B2BC4">
              <w:rPr>
                <w:rFonts w:ascii="Calibri" w:eastAsia="Times New Roman" w:hAnsi="Calibri" w:cs="Times New Roman"/>
                <w:b/>
                <w:bCs/>
                <w:vertAlign w:val="superscript"/>
                <w:lang w:eastAsia="tr-TR"/>
              </w:rPr>
              <w:t>3</w:t>
            </w:r>
            <w:r w:rsidRPr="007B2BC4">
              <w:rPr>
                <w:rFonts w:ascii="Calibri" w:eastAsia="Times New Roman" w:hAnsi="Calibri" w:cs="Times New Roman"/>
                <w:b/>
                <w:bCs/>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Uzaklık (m)</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  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r>
    </w:tbl>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 </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b/>
          <w:bCs/>
          <w:color w:val="1C283D"/>
          <w:lang w:eastAsia="tr-TR"/>
        </w:rPr>
        <w:t>b) Sıvı Argon ve Sıvı Azot tankları için:</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Tablo 1: Vana, flanş gibi ek yeri olmayan yanıcı gaz veya sıvı boru hatları ile sıvı argon ve sıvı azot depolama tankı arasındaki uzaklıklar.</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7B2BC4" w:rsidRPr="007B2BC4" w:rsidTr="007B2BC4">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Tank kapasitesi (m</w:t>
            </w:r>
            <w:r w:rsidRPr="007B2BC4">
              <w:rPr>
                <w:rFonts w:ascii="Calibri" w:eastAsia="Times New Roman" w:hAnsi="Calibri" w:cs="Times New Roman"/>
                <w:b/>
                <w:bCs/>
                <w:vertAlign w:val="superscript"/>
                <w:lang w:eastAsia="tr-TR"/>
              </w:rPr>
              <w:t>3</w:t>
            </w:r>
            <w:r w:rsidRPr="007B2BC4">
              <w:rPr>
                <w:rFonts w:ascii="Calibri" w:eastAsia="Times New Roman" w:hAnsi="Calibri" w:cs="Times New Roman"/>
                <w:b/>
                <w:bCs/>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Uzaklık (m)</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r>
    </w:tbl>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 flanş gibi ek yerleri ile sıvı argon ve sıvı azot depolama tankı  arasındaki uzaklıklar.</w:t>
      </w:r>
    </w:p>
    <w:p w:rsidR="007B2BC4" w:rsidRPr="007B2BC4" w:rsidRDefault="007B2BC4" w:rsidP="007B2BC4">
      <w:pPr>
        <w:shd w:val="clear" w:color="auto" w:fill="FFFFFF"/>
        <w:spacing w:after="0" w:line="240" w:lineRule="atLeast"/>
        <w:jc w:val="both"/>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7B2BC4" w:rsidRPr="007B2BC4" w:rsidTr="007B2BC4">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Tank kapasitesi (m</w:t>
            </w:r>
            <w:r w:rsidRPr="007B2BC4">
              <w:rPr>
                <w:rFonts w:ascii="Calibri" w:eastAsia="Times New Roman" w:hAnsi="Calibri" w:cs="Times New Roman"/>
                <w:b/>
                <w:bCs/>
                <w:vertAlign w:val="superscript"/>
                <w:lang w:eastAsia="tr-TR"/>
              </w:rPr>
              <w:t>3</w:t>
            </w:r>
            <w:r w:rsidRPr="007B2BC4">
              <w:rPr>
                <w:rFonts w:ascii="Calibri" w:eastAsia="Times New Roman" w:hAnsi="Calibri" w:cs="Times New Roman"/>
                <w:b/>
                <w:bCs/>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b/>
                <w:bCs/>
                <w:lang w:eastAsia="tr-TR"/>
              </w:rPr>
              <w:t>Uzaklık (m)</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5</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7</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lastRenderedPageBreak/>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8</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10</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12</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14</w:t>
            </w:r>
          </w:p>
        </w:tc>
      </w:tr>
      <w:tr w:rsidR="007B2BC4" w:rsidRPr="007B2BC4" w:rsidTr="007B2BC4">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7B2BC4" w:rsidRPr="007B2BC4" w:rsidRDefault="007B2BC4" w:rsidP="007B2BC4">
            <w:pPr>
              <w:spacing w:after="0" w:line="240" w:lineRule="atLeast"/>
              <w:jc w:val="center"/>
              <w:rPr>
                <w:rFonts w:ascii="Calibri" w:eastAsia="Times New Roman" w:hAnsi="Calibri" w:cs="Times New Roman"/>
                <w:lang w:eastAsia="tr-TR"/>
              </w:rPr>
            </w:pPr>
            <w:r w:rsidRPr="007B2BC4">
              <w:rPr>
                <w:rFonts w:ascii="Calibri" w:eastAsia="Times New Roman" w:hAnsi="Calibri" w:cs="Times New Roman"/>
                <w:lang w:eastAsia="tr-TR"/>
              </w:rPr>
              <w:t>15</w:t>
            </w:r>
          </w:p>
        </w:tc>
      </w:tr>
    </w:tbl>
    <w:p w:rsidR="007B2BC4" w:rsidRPr="007B2BC4" w:rsidRDefault="007B2BC4" w:rsidP="007B2BC4">
      <w:pPr>
        <w:shd w:val="clear" w:color="auto" w:fill="FFFFFF"/>
        <w:spacing w:after="0" w:line="253" w:lineRule="atLeast"/>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7B2BC4" w:rsidRPr="007B2BC4" w:rsidRDefault="007B2BC4" w:rsidP="007B2BC4">
      <w:pPr>
        <w:shd w:val="clear" w:color="auto" w:fill="FFFFFF"/>
        <w:spacing w:after="0" w:line="240" w:lineRule="auto"/>
        <w:rPr>
          <w:rFonts w:ascii="Calibri" w:eastAsia="Times New Roman" w:hAnsi="Calibri" w:cs="Times New Roman"/>
          <w:color w:val="1C283D"/>
          <w:lang w:eastAsia="tr-TR"/>
        </w:rPr>
      </w:pPr>
      <w:r w:rsidRPr="007B2BC4">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C4"/>
    <w:rsid w:val="00217F10"/>
    <w:rsid w:val="00603F23"/>
    <w:rsid w:val="007B2BC4"/>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2949">
      <w:bodyDiv w:val="1"/>
      <w:marLeft w:val="0"/>
      <w:marRight w:val="0"/>
      <w:marTop w:val="0"/>
      <w:marBottom w:val="0"/>
      <w:divBdr>
        <w:top w:val="none" w:sz="0" w:space="0" w:color="auto"/>
        <w:left w:val="none" w:sz="0" w:space="0" w:color="auto"/>
        <w:bottom w:val="none" w:sz="0" w:space="0" w:color="auto"/>
        <w:right w:val="none" w:sz="0" w:space="0" w:color="auto"/>
      </w:divBdr>
      <w:divsChild>
        <w:div w:id="815416102">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5041</Words>
  <Characters>28734</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2020-01-03T13:35:00Z</dcterms:created>
  <dcterms:modified xsi:type="dcterms:W3CDTF">2020-01-03T13:36:00Z</dcterms:modified>
</cp:coreProperties>
</file>