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FF" w:rsidRPr="00F849FF" w:rsidRDefault="00F849FF" w:rsidP="00F849FF">
      <w:pPr>
        <w:spacing w:after="0" w:line="240" w:lineRule="auto"/>
        <w:rPr>
          <w:rFonts w:ascii="Times New Roman" w:eastAsia="Times New Roman" w:hAnsi="Times New Roman" w:cs="Times New Roman"/>
          <w:sz w:val="24"/>
          <w:szCs w:val="24"/>
          <w:lang w:eastAsia="tr-TR"/>
        </w:rPr>
      </w:pPr>
      <w:r w:rsidRPr="00F849FF">
        <w:rPr>
          <w:rFonts w:ascii="Arial" w:eastAsia="Times New Roman" w:hAnsi="Arial" w:cs="Arial"/>
          <w:color w:val="1C283D"/>
          <w:sz w:val="15"/>
          <w:szCs w:val="15"/>
          <w:shd w:val="clear" w:color="auto" w:fill="FFFFFF"/>
          <w:lang w:eastAsia="tr-TR"/>
        </w:rPr>
        <w:t>Resmî Gazete Tarihi: 26.12.2012 Resmî Gazete Sayısı: 28509</w:t>
      </w:r>
      <w:r w:rsidRPr="00F849FF">
        <w:rPr>
          <w:rFonts w:ascii="Arial" w:eastAsia="Times New Roman" w:hAnsi="Arial" w:cs="Arial"/>
          <w:color w:val="1C283D"/>
          <w:sz w:val="15"/>
          <w:szCs w:val="15"/>
          <w:lang w:eastAsia="tr-TR"/>
        </w:rPr>
        <w:br/>
      </w:r>
    </w:p>
    <w:p w:rsidR="00F849FF" w:rsidRPr="00F849FF" w:rsidRDefault="00F849FF" w:rsidP="00F849FF">
      <w:pPr>
        <w:shd w:val="clear" w:color="auto" w:fill="FFFFFF"/>
        <w:spacing w:after="0" w:line="240" w:lineRule="atLeast"/>
        <w:jc w:val="center"/>
        <w:rPr>
          <w:rFonts w:ascii="Calibri" w:eastAsia="Times New Roman" w:hAnsi="Calibri" w:cs="Times New Roman"/>
          <w:color w:val="1C283D"/>
          <w:lang w:eastAsia="tr-TR"/>
        </w:rPr>
      </w:pPr>
      <w:r w:rsidRPr="00F849FF">
        <w:rPr>
          <w:rFonts w:ascii="Calibri" w:eastAsia="Times New Roman" w:hAnsi="Calibri" w:cs="Times New Roman"/>
          <w:b/>
          <w:bCs/>
          <w:color w:val="1C283D"/>
          <w:lang w:eastAsia="tr-TR"/>
        </w:rPr>
        <w:t>İŞ SAĞLIĞI VE GÜVENLİĞİNE İLİŞKİN İŞYERİ TEHLİKE SINIFLARI TEBLİĞİ</w:t>
      </w:r>
    </w:p>
    <w:p w:rsidR="00F849FF" w:rsidRPr="00F849FF" w:rsidRDefault="00F849FF" w:rsidP="00F849FF">
      <w:pPr>
        <w:shd w:val="clear" w:color="auto" w:fill="FFFFFF"/>
        <w:spacing w:after="0" w:line="240" w:lineRule="atLeast"/>
        <w:jc w:val="center"/>
        <w:rPr>
          <w:rFonts w:ascii="Calibri" w:eastAsia="Times New Roman" w:hAnsi="Calibri" w:cs="Times New Roman"/>
          <w:color w:val="1C283D"/>
          <w:lang w:eastAsia="tr-TR"/>
        </w:rPr>
      </w:pPr>
      <w:r w:rsidRPr="00F849FF">
        <w:rPr>
          <w:rFonts w:ascii="Calibri" w:eastAsia="Times New Roman" w:hAnsi="Calibri" w:cs="Times New Roman"/>
          <w:b/>
          <w:bCs/>
          <w:color w:val="1C283D"/>
          <w:lang w:eastAsia="tr-TR"/>
        </w:rPr>
        <w:t> </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 </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b/>
          <w:bCs/>
          <w:color w:val="1C283D"/>
          <w:lang w:eastAsia="tr-TR"/>
        </w:rPr>
        <w:t>MADDE 1 –</w:t>
      </w:r>
      <w:r w:rsidRPr="00F849FF">
        <w:rPr>
          <w:rFonts w:ascii="Calibri" w:eastAsia="Times New Roman" w:hAnsi="Calibri" w:cs="Times New Roman"/>
          <w:color w:val="1C283D"/>
          <w:lang w:eastAsia="tr-TR"/>
        </w:rPr>
        <w:t> (1) 20/6/2012 tarihli ve 6331 sayılı İş Sağlığı ve Güvenliği Kanununun 9 uncu maddesi uyarınca işyerlerinin iş sağlığı ve güvenliği açısından yer aldığı tehlike sınıfları Ek-1’de yer alan İşyeri Tehlike Sınıfları Listesinde belirtilmiştir.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b/>
          <w:bCs/>
          <w:color w:val="1C283D"/>
          <w:lang w:eastAsia="tr-TR"/>
        </w:rPr>
        <w:t>MADDE 2 –</w:t>
      </w:r>
      <w:r w:rsidRPr="00F849FF">
        <w:rPr>
          <w:rFonts w:ascii="Calibri" w:eastAsia="Times New Roman" w:hAnsi="Calibri" w:cs="Times New Roman"/>
          <w:color w:val="1C283D"/>
          <w:lang w:eastAsia="tr-TR"/>
        </w:rPr>
        <w:t> (1) Tehlike sınıfının tespitinde bir işyerinde yürütülen asıl işin tehlike sınıfı dikkate alınır.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(2) İşveren asıl iş faaliyet değişikliğini en geç bir ay içerisinde Çalışma ve Sosyal Güvenlik Bakanlığına bildirir.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(3) Asıl işin tayininde tereddüde düşülmesi halinde işyerinin kuruluş amacına bakılır. İşyerinde birden fazla asıl iş tanımına uygun faaliyetin yürütülmesi halinde, bu işlerden tehlike sınıfı yüksek olan iş esas alınır. 6331 sayılı Kanunun işyeri tanımına giren işyerlerinde yapılan asıl işin yanında veya devamı niteliğinde faaliyet alanının genişletilmesi halinde o işyerinde bu fıkrada esas alınan kurala göre belirlenir.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b/>
          <w:bCs/>
          <w:color w:val="1C283D"/>
          <w:lang w:eastAsia="tr-TR"/>
        </w:rPr>
        <w:t>MADDE 3 –</w:t>
      </w:r>
      <w:r w:rsidRPr="00F849FF">
        <w:rPr>
          <w:rFonts w:ascii="Calibri" w:eastAsia="Times New Roman" w:hAnsi="Calibri" w:cs="Times New Roman"/>
          <w:color w:val="1C283D"/>
          <w:lang w:eastAsia="tr-TR"/>
        </w:rPr>
        <w:t> (1) İşyeri tehlike sınıfına yapılan itirazlar Çalışma ve Sosyal Güvenlik Bakanlığınca değerlendirilir. Değerlendirme, Bakanlık tescil kayıtları üzerinden ve işyerinin tesciline esas alınan asıl iş dikkate alınarak sonuçlandırılır.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(2) Gerekli görülmedikçe işyerlerinde yapılan asıl işe ilişkin inceleme yapılmaz.</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(3) Bakanlıkça yapılan denetim ve incelemelerde işyerinde yapılan asıl işin tescil kayıtlarından farklı olması halinde, denetim ve incelemeye ilişkin kayıtlar dikkate alınarak işyeri tehlike sınıfı yeniden belirlenebilir.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(4) Alınan karar işyerine tebliğ edilir. Kararın işyerinin tehlike sınıfı değişikliğine neden olması halinde tehlike sınıfının gerektirdiği iş ve işlemleri, işverenler 90 gün içinde yerine getirmek ve İş Sağlığı ve Güvenliği Genel Müdürlüğüne bildirmek zorundadır.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(5) İşyeri Tehlike Sınıfları Listesindeki faaliyet kodunun tehlike sınıfına ait itirazlardan, İş Sağlığı ve Güvenliği Genel Müdürlüğü tarafından oluşturulacak Komisyonda alınacak karar sonucunda, itiraza ilişkin faaliyet kodunun tehlike sınıfının değişmesi halinde bu Tebliğde gerekli değişiklik yapılır.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b/>
          <w:bCs/>
          <w:color w:val="1C283D"/>
          <w:lang w:eastAsia="tr-TR"/>
        </w:rPr>
        <w:t>MADDE 4 –</w:t>
      </w:r>
      <w:r w:rsidRPr="00F849FF">
        <w:rPr>
          <w:rFonts w:ascii="Calibri" w:eastAsia="Times New Roman" w:hAnsi="Calibri" w:cs="Times New Roman"/>
          <w:color w:val="1C283D"/>
          <w:lang w:eastAsia="tr-TR"/>
        </w:rPr>
        <w:t> (1) 25/11/2009 tarihli ve 27417 sayılı Resmî Gazete’de yayımlanan İş Sağlığı ve Güvenliğine İlişkin Tehlike Sınıfları Listesi Tebliği yürürlükten kaldırılmıştır.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b/>
          <w:bCs/>
          <w:color w:val="1C283D"/>
          <w:lang w:eastAsia="tr-TR"/>
        </w:rPr>
        <w:t>MADDE 5 –</w:t>
      </w:r>
      <w:r w:rsidRPr="00F849FF">
        <w:rPr>
          <w:rFonts w:ascii="Calibri" w:eastAsia="Times New Roman" w:hAnsi="Calibri" w:cs="Times New Roman"/>
          <w:color w:val="1C283D"/>
          <w:lang w:eastAsia="tr-TR"/>
        </w:rPr>
        <w:t> (1) Bu Tebliğ yayımı tarihinde yürürlüğe girer.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b/>
          <w:bCs/>
          <w:color w:val="1C283D"/>
          <w:lang w:eastAsia="tr-TR"/>
        </w:rPr>
        <w:t>MADDE 6 –</w:t>
      </w:r>
      <w:r w:rsidRPr="00F849FF">
        <w:rPr>
          <w:rFonts w:ascii="Calibri" w:eastAsia="Times New Roman" w:hAnsi="Calibri" w:cs="Times New Roman"/>
          <w:color w:val="1C283D"/>
          <w:lang w:eastAsia="tr-TR"/>
        </w:rPr>
        <w:t> (1) Bu Tebliğ hükümlerini Çalışma ve Sosyal Güvenlik Bakanı yürütür.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 </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i/>
          <w:iCs/>
          <w:color w:val="1C283D"/>
          <w:sz w:val="20"/>
          <w:szCs w:val="20"/>
          <w:lang w:eastAsia="tr-TR"/>
        </w:rPr>
        <w:t>____________</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i/>
          <w:iCs/>
          <w:color w:val="1C283D"/>
          <w:sz w:val="20"/>
          <w:szCs w:val="20"/>
          <w:vertAlign w:val="superscript"/>
          <w:lang w:eastAsia="tr-TR"/>
        </w:rPr>
        <w:t>(1)</w:t>
      </w:r>
      <w:r w:rsidRPr="00F849FF">
        <w:rPr>
          <w:rFonts w:ascii="Calibri" w:eastAsia="Times New Roman" w:hAnsi="Calibri" w:cs="Times New Roman"/>
          <w:i/>
          <w:iCs/>
          <w:color w:val="1C283D"/>
          <w:sz w:val="20"/>
          <w:szCs w:val="20"/>
          <w:lang w:eastAsia="tr-TR"/>
        </w:rPr>
        <w:t> Danıştay Onuncu Dairesinin 21/3/2019 tarihli ve Esas No: 2013/903 sayılı kararı ile Tebliğin ekinde yer alan 23.32.01 kodu ile tanımlanan ve çok tehlikeli olarak gösterilen “Fırınlanmış, ateşe dayanıklı olmayan kil ve topraktan baca künkleri ve başlıkları, şömine ve baca boruları, oluklar ve bağlantı parçaları ile tuğla, kiremit, karo vb. inşaat malzemeleri imalatı (seramikten oluklar, borular ve bağlantı parçaları dahil)” ibaresindeki “tuğla” ve “kiremit” ibarelerinin iptaline karar verilmiştir.</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i/>
          <w:iCs/>
          <w:color w:val="1C283D"/>
          <w:sz w:val="20"/>
          <w:szCs w:val="20"/>
          <w:vertAlign w:val="superscript"/>
          <w:lang w:eastAsia="tr-TR"/>
        </w:rPr>
        <w:t>(2)</w:t>
      </w:r>
      <w:r w:rsidRPr="00F849FF">
        <w:rPr>
          <w:rFonts w:ascii="Calibri" w:eastAsia="Times New Roman" w:hAnsi="Calibri" w:cs="Times New Roman"/>
          <w:i/>
          <w:iCs/>
          <w:color w:val="1C283D"/>
          <w:sz w:val="20"/>
          <w:szCs w:val="20"/>
          <w:lang w:eastAsia="tr-TR"/>
        </w:rPr>
        <w:t> Danıştay Onuncu Dairesinin 23/5/2019 tarihli ve Esas No: 2017/998; Karar No:2019/4369 sayılı kararı ile Tebliğin ekinde yer alan İşyeri Tehlike Sınıfları Listesinde 82.20.01 kodlu “çağrı merkezlerinin faaliyetleri” nin “tehlikeli” sınıftan “az tehlikeli” sınıfa dönüştürülmesine ilişkin kısmının iptaline karar verilmiştir.</w:t>
      </w: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r w:rsidRPr="00F849FF">
        <w:rPr>
          <w:rFonts w:ascii="Calibri" w:eastAsia="Times New Roman" w:hAnsi="Calibri" w:cs="Times New Roman"/>
          <w:color w:val="1C283D"/>
          <w:sz w:val="20"/>
          <w:szCs w:val="20"/>
          <w:lang w:eastAsia="tr-TR"/>
        </w:rPr>
        <w:t> </w:t>
      </w: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Default="00F849FF" w:rsidP="00F849FF">
      <w:pPr>
        <w:shd w:val="clear" w:color="auto" w:fill="FFFFFF"/>
        <w:spacing w:after="0" w:line="240" w:lineRule="atLeast"/>
        <w:ind w:firstLine="567"/>
        <w:jc w:val="both"/>
        <w:rPr>
          <w:rFonts w:ascii="Calibri" w:eastAsia="Times New Roman" w:hAnsi="Calibri" w:cs="Times New Roman"/>
          <w:color w:val="1C283D"/>
          <w:sz w:val="20"/>
          <w:szCs w:val="20"/>
          <w:lang w:eastAsia="tr-TR"/>
        </w:rPr>
      </w:pP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bookmarkStart w:id="0" w:name="_GoBack"/>
      <w:bookmarkEnd w:id="0"/>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hyperlink r:id="rId5" w:history="1">
        <w:r w:rsidRPr="00F849FF">
          <w:rPr>
            <w:rFonts w:ascii="Lucida Sans Unicode" w:eastAsia="Times New Roman" w:hAnsi="Lucida Sans Unicode" w:cs="Lucida Sans Unicode"/>
            <w:color w:val="000000"/>
            <w:sz w:val="15"/>
            <w:szCs w:val="15"/>
            <w:lang w:eastAsia="tr-TR"/>
          </w:rPr>
          <w:t>EK-1 İşyeri Tehlike Sınıfları Listesi</w:t>
        </w:r>
      </w:hyperlink>
    </w:p>
    <w:p w:rsidR="00F849FF" w:rsidRPr="00F849FF" w:rsidRDefault="00F849FF" w:rsidP="00F849FF">
      <w:pPr>
        <w:shd w:val="clear" w:color="auto" w:fill="FFFFFF"/>
        <w:spacing w:after="0" w:line="240" w:lineRule="auto"/>
        <w:jc w:val="right"/>
        <w:rPr>
          <w:rFonts w:ascii="Calibri" w:eastAsia="Times New Roman" w:hAnsi="Calibri" w:cs="Arial"/>
          <w:b/>
          <w:bCs/>
          <w:color w:val="808080"/>
          <w:lang w:eastAsia="tr-TR"/>
        </w:rPr>
      </w:pPr>
      <w:r w:rsidRPr="00F849FF">
        <w:rPr>
          <w:rFonts w:ascii="Calibri" w:eastAsia="Times New Roman" w:hAnsi="Calibri" w:cs="Arial"/>
          <w:b/>
          <w:bCs/>
          <w:color w:val="808080"/>
          <w:lang w:eastAsia="tr-TR"/>
        </w:rPr>
        <w:t>Sayfa 1</w:t>
      </w:r>
    </w:p>
    <w:p w:rsidR="00F849FF" w:rsidRPr="00F849FF" w:rsidRDefault="00F849FF" w:rsidP="00F849FF">
      <w:pPr>
        <w:shd w:val="clear" w:color="auto" w:fill="FFFFFF"/>
        <w:spacing w:after="0" w:line="240" w:lineRule="auto"/>
        <w:rPr>
          <w:rFonts w:ascii="Arial" w:eastAsia="Times New Roman" w:hAnsi="Arial" w:cs="Arial"/>
          <w:color w:val="1C283D"/>
          <w:sz w:val="15"/>
          <w:szCs w:val="15"/>
          <w:lang w:eastAsia="tr-TR"/>
        </w:rPr>
      </w:pPr>
      <w:r w:rsidRPr="00F849FF">
        <w:rPr>
          <w:rFonts w:ascii="Calibri" w:eastAsia="Times New Roman" w:hAnsi="Calibri" w:cs="Arial"/>
          <w:color w:val="1C283D"/>
          <w:lang w:eastAsia="tr-TR"/>
        </w:rPr>
        <w:br w:type="textWrapping" w:clear="all"/>
      </w:r>
    </w:p>
    <w:p w:rsidR="00F849FF" w:rsidRPr="00F849FF" w:rsidRDefault="00F849FF" w:rsidP="00F849FF">
      <w:pPr>
        <w:shd w:val="clear" w:color="auto" w:fill="FFFFFF"/>
        <w:spacing w:after="0" w:line="240" w:lineRule="auto"/>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 </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 </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 </w:t>
      </w:r>
    </w:p>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F849FF" w:rsidRPr="00F849FF" w:rsidTr="00F849FF">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line="253" w:lineRule="atLeast"/>
              <w:rPr>
                <w:rFonts w:ascii="Calibri" w:eastAsia="Times New Roman" w:hAnsi="Calibri" w:cs="Times New Roman"/>
                <w:lang w:eastAsia="tr-TR"/>
              </w:rPr>
            </w:pPr>
            <w:r w:rsidRPr="00F849FF">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line="253" w:lineRule="atLeast"/>
              <w:jc w:val="center"/>
              <w:rPr>
                <w:rFonts w:ascii="Calibri" w:eastAsia="Times New Roman" w:hAnsi="Calibri" w:cs="Times New Roman"/>
                <w:lang w:eastAsia="tr-TR"/>
              </w:rPr>
            </w:pPr>
            <w:r w:rsidRPr="00F849FF">
              <w:rPr>
                <w:rFonts w:ascii="Calibri" w:eastAsia="Times New Roman" w:hAnsi="Calibri" w:cs="Times New Roman"/>
                <w:b/>
                <w:bCs/>
                <w:lang w:eastAsia="tr-TR"/>
              </w:rPr>
              <w:t>Tebliğin Yayımlandığı Resmî Gazete’nin</w:t>
            </w:r>
          </w:p>
        </w:tc>
      </w:tr>
      <w:tr w:rsidR="00F849FF" w:rsidRPr="00F849FF" w:rsidTr="00F849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49FF" w:rsidRPr="00F849FF" w:rsidRDefault="00F849FF" w:rsidP="00F849F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line="253" w:lineRule="atLeast"/>
              <w:jc w:val="center"/>
              <w:rPr>
                <w:rFonts w:ascii="Calibri" w:eastAsia="Times New Roman" w:hAnsi="Calibri" w:cs="Times New Roman"/>
                <w:lang w:eastAsia="tr-TR"/>
              </w:rPr>
            </w:pPr>
            <w:r w:rsidRPr="00F849FF">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line="253" w:lineRule="atLeast"/>
              <w:jc w:val="center"/>
              <w:rPr>
                <w:rFonts w:ascii="Calibri" w:eastAsia="Times New Roman" w:hAnsi="Calibri" w:cs="Times New Roman"/>
                <w:lang w:eastAsia="tr-TR"/>
              </w:rPr>
            </w:pPr>
            <w:r w:rsidRPr="00F849FF">
              <w:rPr>
                <w:rFonts w:ascii="Calibri" w:eastAsia="Times New Roman" w:hAnsi="Calibri" w:cs="Times New Roman"/>
                <w:b/>
                <w:bCs/>
                <w:lang w:eastAsia="tr-TR"/>
              </w:rPr>
              <w:t>Sayısı</w:t>
            </w:r>
          </w:p>
        </w:tc>
      </w:tr>
      <w:tr w:rsidR="00F849FF" w:rsidRPr="00F849FF" w:rsidTr="00F849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49FF" w:rsidRPr="00F849FF" w:rsidRDefault="00F849FF" w:rsidP="00F849F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26/12/2012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28509</w:t>
            </w:r>
          </w:p>
        </w:tc>
      </w:tr>
      <w:tr w:rsidR="00F849FF" w:rsidRPr="00F849FF" w:rsidTr="00F849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49FF" w:rsidRPr="00F849FF" w:rsidRDefault="00F849FF" w:rsidP="00F849FF">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line="253" w:lineRule="atLeast"/>
              <w:jc w:val="center"/>
              <w:rPr>
                <w:rFonts w:ascii="Calibri" w:eastAsia="Times New Roman" w:hAnsi="Calibri" w:cs="Times New Roman"/>
                <w:lang w:eastAsia="tr-TR"/>
              </w:rPr>
            </w:pPr>
            <w:r w:rsidRPr="00F849FF">
              <w:rPr>
                <w:rFonts w:ascii="Calibri" w:eastAsia="Times New Roman" w:hAnsi="Calibri" w:cs="Times New Roman"/>
                <w:b/>
                <w:bCs/>
                <w:lang w:eastAsia="tr-TR"/>
              </w:rPr>
              <w:t>Tebliğde Değişiklik Yapan Tebliğlerin Yayımlandığı Resmî Gazetelerin</w:t>
            </w:r>
          </w:p>
        </w:tc>
      </w:tr>
      <w:tr w:rsidR="00F849FF" w:rsidRPr="00F849FF" w:rsidTr="00F849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49FF" w:rsidRPr="00F849FF" w:rsidRDefault="00F849FF" w:rsidP="00F849F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line="253" w:lineRule="atLeast"/>
              <w:jc w:val="center"/>
              <w:rPr>
                <w:rFonts w:ascii="Calibri" w:eastAsia="Times New Roman" w:hAnsi="Calibri" w:cs="Times New Roman"/>
                <w:lang w:eastAsia="tr-TR"/>
              </w:rPr>
            </w:pPr>
            <w:r w:rsidRPr="00F849FF">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line="253" w:lineRule="atLeast"/>
              <w:jc w:val="center"/>
              <w:rPr>
                <w:rFonts w:ascii="Calibri" w:eastAsia="Times New Roman" w:hAnsi="Calibri" w:cs="Times New Roman"/>
                <w:lang w:eastAsia="tr-TR"/>
              </w:rPr>
            </w:pPr>
            <w:r w:rsidRPr="00F849FF">
              <w:rPr>
                <w:rFonts w:ascii="Calibri" w:eastAsia="Times New Roman" w:hAnsi="Calibri" w:cs="Times New Roman"/>
                <w:b/>
                <w:bCs/>
                <w:lang w:eastAsia="tr-TR"/>
              </w:rPr>
              <w:t>Sayısı</w:t>
            </w:r>
          </w:p>
        </w:tc>
      </w:tr>
      <w:tr w:rsidR="00F849FF" w:rsidRPr="00F849FF" w:rsidTr="00F849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after="0" w:line="240" w:lineRule="auto"/>
              <w:ind w:left="397" w:hanging="340"/>
              <w:rPr>
                <w:rFonts w:ascii="Calibri" w:eastAsia="Times New Roman" w:hAnsi="Calibri" w:cs="Times New Roman"/>
                <w:lang w:eastAsia="tr-TR"/>
              </w:rPr>
            </w:pPr>
            <w:r w:rsidRPr="00F849FF">
              <w:rPr>
                <w:rFonts w:ascii="Calibri" w:eastAsia="Times New Roman" w:hAnsi="Calibri" w:cs="Times New Roman"/>
                <w:lang w:eastAsia="tr-TR"/>
              </w:rPr>
              <w:t>1.</w:t>
            </w:r>
            <w:r w:rsidRPr="00F849FF">
              <w:rPr>
                <w:rFonts w:ascii="Times New Roman" w:eastAsia="Times New Roman" w:hAnsi="Times New Roman" w:cs="Times New Roman"/>
                <w:sz w:val="14"/>
                <w:szCs w:val="14"/>
                <w:lang w:eastAsia="tr-TR"/>
              </w:rPr>
              <w:t>      </w:t>
            </w:r>
            <w:r w:rsidRPr="00F849F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29/3/2013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28602</w:t>
            </w:r>
          </w:p>
        </w:tc>
      </w:tr>
      <w:tr w:rsidR="00F849FF" w:rsidRPr="00F849FF" w:rsidTr="00F849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after="0" w:line="240" w:lineRule="auto"/>
              <w:ind w:left="397" w:hanging="340"/>
              <w:rPr>
                <w:rFonts w:ascii="Calibri" w:eastAsia="Times New Roman" w:hAnsi="Calibri" w:cs="Times New Roman"/>
                <w:lang w:eastAsia="tr-TR"/>
              </w:rPr>
            </w:pPr>
            <w:r w:rsidRPr="00F849FF">
              <w:rPr>
                <w:rFonts w:ascii="Calibri" w:eastAsia="Times New Roman" w:hAnsi="Calibri" w:cs="Times New Roman"/>
                <w:lang w:eastAsia="tr-TR"/>
              </w:rPr>
              <w:t>2.</w:t>
            </w:r>
            <w:r w:rsidRPr="00F849FF">
              <w:rPr>
                <w:rFonts w:ascii="Times New Roman" w:eastAsia="Times New Roman" w:hAnsi="Times New Roman" w:cs="Times New Roman"/>
                <w:sz w:val="14"/>
                <w:szCs w:val="14"/>
                <w:lang w:eastAsia="tr-TR"/>
              </w:rPr>
              <w:t>      </w:t>
            </w:r>
            <w:r w:rsidRPr="00F849F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4/2/2014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28903</w:t>
            </w:r>
          </w:p>
        </w:tc>
      </w:tr>
      <w:tr w:rsidR="00F849FF" w:rsidRPr="00F849FF" w:rsidTr="00F849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after="0" w:line="240" w:lineRule="auto"/>
              <w:ind w:left="397" w:hanging="340"/>
              <w:rPr>
                <w:rFonts w:ascii="Calibri" w:eastAsia="Times New Roman" w:hAnsi="Calibri" w:cs="Times New Roman"/>
                <w:lang w:eastAsia="tr-TR"/>
              </w:rPr>
            </w:pPr>
            <w:r w:rsidRPr="00F849FF">
              <w:rPr>
                <w:rFonts w:ascii="Calibri" w:eastAsia="Times New Roman" w:hAnsi="Calibri" w:cs="Times New Roman"/>
                <w:lang w:eastAsia="tr-TR"/>
              </w:rPr>
              <w:t>3.</w:t>
            </w:r>
            <w:r w:rsidRPr="00F849FF">
              <w:rPr>
                <w:rFonts w:ascii="Times New Roman" w:eastAsia="Times New Roman" w:hAnsi="Times New Roman" w:cs="Times New Roman"/>
                <w:sz w:val="14"/>
                <w:szCs w:val="14"/>
                <w:lang w:eastAsia="tr-TR"/>
              </w:rPr>
              <w:t>      </w:t>
            </w:r>
            <w:r w:rsidRPr="00F849F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18/4/2014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28976</w:t>
            </w:r>
          </w:p>
        </w:tc>
      </w:tr>
      <w:tr w:rsidR="00F849FF" w:rsidRPr="00F849FF" w:rsidTr="00F849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after="0" w:line="240" w:lineRule="auto"/>
              <w:ind w:left="397" w:hanging="340"/>
              <w:rPr>
                <w:rFonts w:ascii="Calibri" w:eastAsia="Times New Roman" w:hAnsi="Calibri" w:cs="Times New Roman"/>
                <w:lang w:eastAsia="tr-TR"/>
              </w:rPr>
            </w:pPr>
            <w:r w:rsidRPr="00F849FF">
              <w:rPr>
                <w:rFonts w:ascii="Calibri" w:eastAsia="Times New Roman" w:hAnsi="Calibri" w:cs="Times New Roman"/>
                <w:lang w:eastAsia="tr-TR"/>
              </w:rPr>
              <w:t>4.</w:t>
            </w:r>
            <w:r w:rsidRPr="00F849FF">
              <w:rPr>
                <w:rFonts w:ascii="Times New Roman" w:eastAsia="Times New Roman" w:hAnsi="Times New Roman" w:cs="Times New Roman"/>
                <w:sz w:val="14"/>
                <w:szCs w:val="14"/>
                <w:lang w:eastAsia="tr-TR"/>
              </w:rPr>
              <w:t>      </w:t>
            </w:r>
            <w:r w:rsidRPr="00F849F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19/2/2015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29272</w:t>
            </w:r>
          </w:p>
        </w:tc>
      </w:tr>
      <w:tr w:rsidR="00F849FF" w:rsidRPr="00F849FF" w:rsidTr="00F849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after="0" w:line="240" w:lineRule="auto"/>
              <w:ind w:left="397" w:hanging="340"/>
              <w:rPr>
                <w:rFonts w:ascii="Calibri" w:eastAsia="Times New Roman" w:hAnsi="Calibri" w:cs="Times New Roman"/>
                <w:lang w:eastAsia="tr-TR"/>
              </w:rPr>
            </w:pPr>
            <w:r w:rsidRPr="00F849FF">
              <w:rPr>
                <w:rFonts w:ascii="Calibri" w:eastAsia="Times New Roman" w:hAnsi="Calibri" w:cs="Times New Roman"/>
                <w:lang w:eastAsia="tr-TR"/>
              </w:rPr>
              <w:t>5.</w:t>
            </w:r>
            <w:r w:rsidRPr="00F849FF">
              <w:rPr>
                <w:rFonts w:ascii="Times New Roman" w:eastAsia="Times New Roman" w:hAnsi="Times New Roman" w:cs="Times New Roman"/>
                <w:sz w:val="14"/>
                <w:szCs w:val="14"/>
                <w:lang w:eastAsia="tr-TR"/>
              </w:rPr>
              <w:t>      </w:t>
            </w:r>
            <w:r w:rsidRPr="00F849F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20/2/2016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29630</w:t>
            </w:r>
          </w:p>
        </w:tc>
      </w:tr>
      <w:tr w:rsidR="00F849FF" w:rsidRPr="00F849FF" w:rsidTr="00F849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after="0" w:line="240" w:lineRule="auto"/>
              <w:ind w:left="397" w:hanging="340"/>
              <w:rPr>
                <w:rFonts w:ascii="Calibri" w:eastAsia="Times New Roman" w:hAnsi="Calibri" w:cs="Times New Roman"/>
                <w:lang w:eastAsia="tr-TR"/>
              </w:rPr>
            </w:pPr>
            <w:r w:rsidRPr="00F849FF">
              <w:rPr>
                <w:rFonts w:ascii="Calibri" w:eastAsia="Times New Roman" w:hAnsi="Calibri" w:cs="Times New Roman"/>
                <w:lang w:eastAsia="tr-TR"/>
              </w:rPr>
              <w:t>6.</w:t>
            </w:r>
            <w:r w:rsidRPr="00F849FF">
              <w:rPr>
                <w:rFonts w:ascii="Times New Roman" w:eastAsia="Times New Roman" w:hAnsi="Times New Roman" w:cs="Times New Roman"/>
                <w:sz w:val="14"/>
                <w:szCs w:val="14"/>
                <w:lang w:eastAsia="tr-TR"/>
              </w:rPr>
              <w:t>      </w:t>
            </w:r>
            <w:r w:rsidRPr="00F849F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27/2/2017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29992 (Mükerrer)</w:t>
            </w:r>
          </w:p>
        </w:tc>
      </w:tr>
      <w:tr w:rsidR="00F849FF" w:rsidRPr="00F849FF" w:rsidTr="00F849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after="0" w:line="240" w:lineRule="auto"/>
              <w:ind w:left="397" w:hanging="340"/>
              <w:rPr>
                <w:rFonts w:ascii="Calibri" w:eastAsia="Times New Roman" w:hAnsi="Calibri" w:cs="Times New Roman"/>
                <w:lang w:eastAsia="tr-TR"/>
              </w:rPr>
            </w:pPr>
            <w:r w:rsidRPr="00F849FF">
              <w:rPr>
                <w:rFonts w:ascii="Calibri" w:eastAsia="Times New Roman" w:hAnsi="Calibri" w:cs="Times New Roman"/>
                <w:lang w:eastAsia="tr-TR"/>
              </w:rPr>
              <w:t>7.</w:t>
            </w:r>
            <w:r w:rsidRPr="00F849FF">
              <w:rPr>
                <w:rFonts w:ascii="Times New Roman" w:eastAsia="Times New Roman" w:hAnsi="Times New Roman" w:cs="Times New Roman"/>
                <w:sz w:val="14"/>
                <w:szCs w:val="14"/>
                <w:lang w:eastAsia="tr-TR"/>
              </w:rPr>
              <w:t>      </w:t>
            </w:r>
            <w:r w:rsidRPr="00F849F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31/1/2018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30318</w:t>
            </w:r>
          </w:p>
        </w:tc>
      </w:tr>
      <w:tr w:rsidR="00F849FF" w:rsidRPr="00F849FF" w:rsidTr="00F849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9FF" w:rsidRPr="00F849FF" w:rsidRDefault="00F849FF" w:rsidP="00F849FF">
            <w:pPr>
              <w:spacing w:after="0" w:line="240" w:lineRule="auto"/>
              <w:ind w:left="397" w:hanging="340"/>
              <w:rPr>
                <w:rFonts w:ascii="Calibri" w:eastAsia="Times New Roman" w:hAnsi="Calibri" w:cs="Times New Roman"/>
                <w:lang w:eastAsia="tr-TR"/>
              </w:rPr>
            </w:pPr>
            <w:r w:rsidRPr="00F849FF">
              <w:rPr>
                <w:rFonts w:ascii="Calibri" w:eastAsia="Times New Roman" w:hAnsi="Calibri" w:cs="Times New Roman"/>
                <w:lang w:eastAsia="tr-TR"/>
              </w:rPr>
              <w:t>8.</w:t>
            </w:r>
            <w:r w:rsidRPr="00F849FF">
              <w:rPr>
                <w:rFonts w:ascii="Times New Roman" w:eastAsia="Times New Roman" w:hAnsi="Times New Roman" w:cs="Times New Roman"/>
                <w:sz w:val="14"/>
                <w:szCs w:val="14"/>
                <w:lang w:eastAsia="tr-TR"/>
              </w:rPr>
              <w:t>      </w:t>
            </w:r>
            <w:r w:rsidRPr="00F849F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12/3/2019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FF" w:rsidRPr="00F849FF" w:rsidRDefault="00F849FF" w:rsidP="00F849FF">
            <w:pPr>
              <w:spacing w:after="0" w:line="240" w:lineRule="atLeast"/>
              <w:ind w:firstLine="567"/>
              <w:jc w:val="center"/>
              <w:rPr>
                <w:rFonts w:ascii="Calibri" w:eastAsia="Times New Roman" w:hAnsi="Calibri" w:cs="Times New Roman"/>
                <w:lang w:eastAsia="tr-TR"/>
              </w:rPr>
            </w:pPr>
            <w:r w:rsidRPr="00F849FF">
              <w:rPr>
                <w:rFonts w:ascii="Calibri" w:eastAsia="Times New Roman" w:hAnsi="Calibri" w:cs="Times New Roman"/>
                <w:lang w:eastAsia="tr-TR"/>
              </w:rPr>
              <w:t>30712</w:t>
            </w:r>
          </w:p>
        </w:tc>
      </w:tr>
    </w:tbl>
    <w:p w:rsidR="00F849FF" w:rsidRPr="00F849FF" w:rsidRDefault="00F849FF" w:rsidP="00F849FF">
      <w:pPr>
        <w:shd w:val="clear" w:color="auto" w:fill="FFFFFF"/>
        <w:spacing w:after="0" w:line="240" w:lineRule="atLeast"/>
        <w:ind w:firstLine="567"/>
        <w:jc w:val="both"/>
        <w:rPr>
          <w:rFonts w:ascii="Calibri" w:eastAsia="Times New Roman" w:hAnsi="Calibri" w:cs="Times New Roman"/>
          <w:color w:val="1C283D"/>
          <w:lang w:eastAsia="tr-TR"/>
        </w:rPr>
      </w:pPr>
      <w:r w:rsidRPr="00F849FF">
        <w:rPr>
          <w:rFonts w:ascii="Calibri" w:eastAsia="Times New Roman" w:hAnsi="Calibri" w:cs="Times New Roman"/>
          <w:color w:val="1C283D"/>
          <w:lang w:eastAsia="tr-TR"/>
        </w:rPr>
        <w:t> </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FF"/>
    <w:rsid w:val="00217F10"/>
    <w:rsid w:val="00603F23"/>
    <w:rsid w:val="009B6FB2"/>
    <w:rsid w:val="00EF23E1"/>
    <w:rsid w:val="00F84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849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84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7013">
      <w:bodyDiv w:val="1"/>
      <w:marLeft w:val="0"/>
      <w:marRight w:val="0"/>
      <w:marTop w:val="0"/>
      <w:marBottom w:val="0"/>
      <w:divBdr>
        <w:top w:val="none" w:sz="0" w:space="0" w:color="auto"/>
        <w:left w:val="none" w:sz="0" w:space="0" w:color="auto"/>
        <w:bottom w:val="none" w:sz="0" w:space="0" w:color="auto"/>
        <w:right w:val="none" w:sz="0" w:space="0" w:color="auto"/>
      </w:divBdr>
      <w:divsChild>
        <w:div w:id="16584302">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vzuat.gov.tr/MevzuatMetin/yonetmelik/9.5.16909-Ek.xl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2020-01-03T13:08:00Z</dcterms:created>
  <dcterms:modified xsi:type="dcterms:W3CDTF">2020-01-03T13:08:00Z</dcterms:modified>
</cp:coreProperties>
</file>